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03E6F" w14:textId="6FAEF45A" w:rsidR="00C87EF5" w:rsidRPr="00B5304B" w:rsidRDefault="00C728B3" w:rsidP="00E1238A">
      <w:pPr>
        <w:jc w:val="center"/>
        <w:rPr>
          <w:rFonts w:asciiTheme="majorHAnsi" w:hAnsiTheme="majorHAnsi"/>
          <w:b/>
        </w:rPr>
      </w:pPr>
      <w:r w:rsidRPr="00B5304B">
        <w:rPr>
          <w:rFonts w:asciiTheme="majorHAnsi" w:hAnsiTheme="majorHAnsi"/>
          <w:b/>
        </w:rPr>
        <w:t>FICHE DE POSTE</w:t>
      </w:r>
    </w:p>
    <w:p w14:paraId="6959653D" w14:textId="77777777" w:rsidR="00C728B3" w:rsidRPr="00B5304B" w:rsidRDefault="00C728B3" w:rsidP="00C87EF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Cs w:val="32"/>
        </w:rPr>
      </w:pPr>
      <w:r w:rsidRPr="00B5304B">
        <w:rPr>
          <w:rFonts w:asciiTheme="majorHAnsi" w:hAnsiTheme="majorHAnsi" w:cs="Calibri"/>
          <w:szCs w:val="32"/>
        </w:rPr>
        <w:t>L</w:t>
      </w:r>
      <w:r w:rsidR="00B5304B">
        <w:rPr>
          <w:rFonts w:asciiTheme="majorHAnsi" w:hAnsiTheme="majorHAnsi" w:cs="Calibri"/>
          <w:szCs w:val="32"/>
        </w:rPr>
        <w:t>’interne en pharmacie dépend</w:t>
      </w:r>
      <w:r w:rsidR="000B1F61">
        <w:rPr>
          <w:rFonts w:asciiTheme="majorHAnsi" w:hAnsiTheme="majorHAnsi" w:cs="Calibri"/>
          <w:szCs w:val="32"/>
        </w:rPr>
        <w:t>ra</w:t>
      </w:r>
      <w:r w:rsidR="00B5304B">
        <w:rPr>
          <w:rFonts w:asciiTheme="majorHAnsi" w:hAnsiTheme="majorHAnsi" w:cs="Calibri"/>
          <w:szCs w:val="32"/>
        </w:rPr>
        <w:t xml:space="preserve"> du</w:t>
      </w:r>
      <w:r w:rsidRPr="00B5304B">
        <w:rPr>
          <w:rFonts w:asciiTheme="majorHAnsi" w:hAnsiTheme="majorHAnsi" w:cs="Calibri"/>
          <w:szCs w:val="32"/>
        </w:rPr>
        <w:t xml:space="preserve"> pôle « Cancérologie et Spécialités Médicales » </w:t>
      </w:r>
      <w:r w:rsidR="00B5304B">
        <w:rPr>
          <w:rFonts w:asciiTheme="majorHAnsi" w:hAnsiTheme="majorHAnsi" w:cs="Calibri"/>
          <w:szCs w:val="32"/>
        </w:rPr>
        <w:t>qui</w:t>
      </w:r>
      <w:r w:rsidRPr="00B5304B">
        <w:rPr>
          <w:rFonts w:asciiTheme="majorHAnsi" w:hAnsiTheme="majorHAnsi" w:cs="Calibri"/>
          <w:szCs w:val="32"/>
        </w:rPr>
        <w:t xml:space="preserve"> fédère les services d’Oncologie Médicale, Hématologie Clinique, Gastro-Entérologie et Nutrition, Rhumatologie, Centre d’Évaluation et de Traitement de la Douleur, Unité de Soins Palliatifs, Équipe Mobile de Soins de Support et Palliatifs, </w:t>
      </w:r>
      <w:proofErr w:type="spellStart"/>
      <w:r w:rsidRPr="00B5304B">
        <w:rPr>
          <w:rFonts w:asciiTheme="majorHAnsi" w:hAnsiTheme="majorHAnsi" w:cs="Calibri"/>
          <w:szCs w:val="32"/>
        </w:rPr>
        <w:t>Anatomo</w:t>
      </w:r>
      <w:proofErr w:type="spellEnd"/>
      <w:r w:rsidRPr="00B5304B">
        <w:rPr>
          <w:rFonts w:asciiTheme="majorHAnsi" w:hAnsiTheme="majorHAnsi" w:cs="Calibri"/>
          <w:szCs w:val="32"/>
        </w:rPr>
        <w:t xml:space="preserve">-cytopathologie, et le bloc de Chirurgie gynécologique et cancérologique (cf. Tableau 1). </w:t>
      </w:r>
    </w:p>
    <w:p w14:paraId="258DB9F1" w14:textId="77777777" w:rsidR="00C728B3" w:rsidRPr="00B5304B" w:rsidRDefault="00C728B3" w:rsidP="00C87EF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Cs w:val="32"/>
        </w:rPr>
      </w:pPr>
      <w:r w:rsidRPr="00B5304B">
        <w:rPr>
          <w:rFonts w:asciiTheme="majorHAnsi" w:hAnsiTheme="majorHAnsi" w:cs="Calibri"/>
          <w:szCs w:val="32"/>
        </w:rPr>
        <w:t xml:space="preserve">Tableau 1. Présentation synthétique de Pôle de Cancérologie et Spécialités Médicales </w:t>
      </w:r>
    </w:p>
    <w:p w14:paraId="492311CA" w14:textId="77777777" w:rsidR="00C728B3" w:rsidRDefault="00C728B3" w:rsidP="00C87EF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6734EFA" wp14:editId="08B23F35">
            <wp:extent cx="5482428" cy="3144984"/>
            <wp:effectExtent l="0" t="0" r="4445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159" cy="314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E57E9" w14:textId="77777777" w:rsidR="00C728B3" w:rsidRDefault="00C728B3" w:rsidP="00C87EF5">
      <w:pPr>
        <w:jc w:val="both"/>
        <w:rPr>
          <w:rFonts w:ascii="Times" w:hAnsi="Times" w:cs="Times"/>
        </w:rPr>
      </w:pPr>
    </w:p>
    <w:p w14:paraId="612F6434" w14:textId="77777777" w:rsidR="00C728B3" w:rsidRPr="00B5304B" w:rsidRDefault="00B5304B" w:rsidP="00C8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Cs w:val="32"/>
        </w:rPr>
      </w:pPr>
      <w:r w:rsidRPr="00B5304B">
        <w:rPr>
          <w:rFonts w:ascii="Calibri" w:hAnsi="Calibri" w:cs="Calibri"/>
          <w:b/>
          <w:szCs w:val="32"/>
        </w:rPr>
        <w:t>ÉQUIPE DE PHARMACIE CLINIQUE :</w:t>
      </w:r>
    </w:p>
    <w:p w14:paraId="72240192" w14:textId="77777777" w:rsidR="00B5304B" w:rsidRDefault="00C728B3" w:rsidP="00C8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32"/>
        </w:rPr>
      </w:pPr>
      <w:r w:rsidRPr="00C728B3">
        <w:rPr>
          <w:rFonts w:ascii="Calibri" w:hAnsi="Calibri" w:cs="Calibri"/>
          <w:szCs w:val="32"/>
          <w:u w:val="single"/>
        </w:rPr>
        <w:t>Service d’</w:t>
      </w:r>
      <w:r>
        <w:rPr>
          <w:rFonts w:ascii="Calibri" w:hAnsi="Calibri" w:cs="Calibri"/>
          <w:szCs w:val="32"/>
          <w:u w:val="single"/>
        </w:rPr>
        <w:t>O</w:t>
      </w:r>
      <w:r w:rsidRPr="00C728B3">
        <w:rPr>
          <w:rFonts w:ascii="Calibri" w:hAnsi="Calibri" w:cs="Calibri"/>
          <w:szCs w:val="32"/>
          <w:u w:val="single"/>
        </w:rPr>
        <w:t>ncologie et d’</w:t>
      </w:r>
      <w:r>
        <w:rPr>
          <w:rFonts w:ascii="Calibri" w:hAnsi="Calibri" w:cs="Calibri"/>
          <w:szCs w:val="32"/>
          <w:u w:val="single"/>
        </w:rPr>
        <w:t>H</w:t>
      </w:r>
      <w:r w:rsidRPr="00C728B3">
        <w:rPr>
          <w:rFonts w:ascii="Calibri" w:hAnsi="Calibri" w:cs="Calibri"/>
          <w:szCs w:val="32"/>
          <w:u w:val="single"/>
        </w:rPr>
        <w:t>ématologie </w:t>
      </w:r>
      <w:r w:rsidRPr="00C728B3">
        <w:rPr>
          <w:rFonts w:ascii="Calibri" w:hAnsi="Calibri" w:cs="Calibri"/>
          <w:szCs w:val="32"/>
        </w:rPr>
        <w:t xml:space="preserve">: </w:t>
      </w:r>
    </w:p>
    <w:p w14:paraId="6A5D2058" w14:textId="149A76D6" w:rsidR="00C728B3" w:rsidRDefault="00C728B3" w:rsidP="00C8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32"/>
        </w:rPr>
      </w:pPr>
      <w:r w:rsidRPr="00C728B3">
        <w:rPr>
          <w:rFonts w:ascii="Calibri" w:hAnsi="Calibri" w:cs="Calibri"/>
          <w:szCs w:val="32"/>
        </w:rPr>
        <w:t xml:space="preserve">Dr </w:t>
      </w:r>
      <w:proofErr w:type="spellStart"/>
      <w:r w:rsidRPr="00C728B3">
        <w:rPr>
          <w:rFonts w:ascii="Calibri" w:hAnsi="Calibri" w:cs="Calibri"/>
          <w:szCs w:val="32"/>
        </w:rPr>
        <w:t>Fulcrand</w:t>
      </w:r>
      <w:proofErr w:type="spellEnd"/>
      <w:r w:rsidRPr="00C728B3">
        <w:rPr>
          <w:rFonts w:ascii="Calibri" w:hAnsi="Calibri" w:cs="Calibri"/>
          <w:szCs w:val="32"/>
        </w:rPr>
        <w:t xml:space="preserve"> (1 ETP- Prati</w:t>
      </w:r>
      <w:r w:rsidR="00C87EF5">
        <w:rPr>
          <w:rFonts w:ascii="Calibri" w:hAnsi="Calibri" w:cs="Calibri"/>
          <w:szCs w:val="32"/>
        </w:rPr>
        <w:t xml:space="preserve">cien Hospitalier) et Dr </w:t>
      </w:r>
      <w:proofErr w:type="spellStart"/>
      <w:r w:rsidR="00C87EF5">
        <w:rPr>
          <w:rFonts w:ascii="Calibri" w:hAnsi="Calibri" w:cs="Calibri"/>
          <w:szCs w:val="32"/>
        </w:rPr>
        <w:t>Delvoye-H</w:t>
      </w:r>
      <w:r w:rsidR="009F6C5D">
        <w:rPr>
          <w:rFonts w:ascii="Calibri" w:hAnsi="Calibri" w:cs="Calibri"/>
          <w:szCs w:val="32"/>
        </w:rPr>
        <w:t>eiremans</w:t>
      </w:r>
      <w:proofErr w:type="spellEnd"/>
      <w:r w:rsidR="009F6C5D">
        <w:rPr>
          <w:rFonts w:ascii="Calibri" w:hAnsi="Calibri" w:cs="Calibri"/>
          <w:szCs w:val="32"/>
        </w:rPr>
        <w:t xml:space="preserve"> </w:t>
      </w:r>
      <w:r w:rsidRPr="00C728B3">
        <w:rPr>
          <w:rFonts w:ascii="Calibri" w:hAnsi="Calibri" w:cs="Calibri"/>
          <w:szCs w:val="32"/>
        </w:rPr>
        <w:t>(</w:t>
      </w:r>
      <w:r w:rsidR="00600710">
        <w:rPr>
          <w:rFonts w:ascii="Calibri" w:hAnsi="Calibri" w:cs="Calibri"/>
          <w:szCs w:val="32"/>
        </w:rPr>
        <w:t>1</w:t>
      </w:r>
      <w:r w:rsidRPr="00C728B3">
        <w:rPr>
          <w:rFonts w:ascii="Calibri" w:hAnsi="Calibri" w:cs="Calibri"/>
          <w:szCs w:val="32"/>
        </w:rPr>
        <w:t xml:space="preserve"> ETP- Assistant spécialiste)</w:t>
      </w:r>
    </w:p>
    <w:p w14:paraId="11AEB5CD" w14:textId="77777777" w:rsidR="00E1620C" w:rsidRPr="00C728B3" w:rsidRDefault="00E1620C" w:rsidP="00C8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32"/>
        </w:rPr>
      </w:pPr>
    </w:p>
    <w:p w14:paraId="7681272D" w14:textId="77777777" w:rsidR="00E1620C" w:rsidRDefault="00C728B3" w:rsidP="00C8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32"/>
        </w:rPr>
      </w:pPr>
      <w:r w:rsidRPr="00C728B3">
        <w:rPr>
          <w:rFonts w:ascii="Calibri" w:hAnsi="Calibri" w:cs="Calibri"/>
          <w:szCs w:val="32"/>
          <w:u w:val="single"/>
        </w:rPr>
        <w:t xml:space="preserve">Service de </w:t>
      </w:r>
      <w:r>
        <w:rPr>
          <w:rFonts w:ascii="Calibri" w:hAnsi="Calibri" w:cs="Calibri"/>
          <w:szCs w:val="32"/>
          <w:u w:val="single"/>
        </w:rPr>
        <w:t>Gastro-entérologie, R</w:t>
      </w:r>
      <w:r w:rsidRPr="00C728B3">
        <w:rPr>
          <w:rFonts w:ascii="Calibri" w:hAnsi="Calibri" w:cs="Calibri"/>
          <w:szCs w:val="32"/>
          <w:u w:val="single"/>
        </w:rPr>
        <w:t>humatologie et CETD </w:t>
      </w:r>
      <w:r w:rsidRPr="00C728B3">
        <w:rPr>
          <w:rFonts w:ascii="Calibri" w:hAnsi="Calibri" w:cs="Calibri"/>
          <w:szCs w:val="32"/>
        </w:rPr>
        <w:t xml:space="preserve">: </w:t>
      </w:r>
    </w:p>
    <w:p w14:paraId="53C8E1E8" w14:textId="77777777" w:rsidR="00C728B3" w:rsidRDefault="00C728B3" w:rsidP="00C8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32"/>
        </w:rPr>
      </w:pPr>
      <w:r w:rsidRPr="00C728B3">
        <w:rPr>
          <w:rFonts w:ascii="Calibri" w:hAnsi="Calibri" w:cs="Calibri"/>
          <w:szCs w:val="32"/>
        </w:rPr>
        <w:t>Dr Dujardin (1 ETP- Praticien Hospitalier) et Dr Boursier Amélie (1 ETP- Assistant spécialiste)</w:t>
      </w:r>
    </w:p>
    <w:p w14:paraId="5C8F6529" w14:textId="77777777" w:rsidR="00E1620C" w:rsidRPr="00C728B3" w:rsidRDefault="00E1620C" w:rsidP="00C8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32"/>
        </w:rPr>
      </w:pPr>
    </w:p>
    <w:p w14:paraId="0428B49C" w14:textId="77777777" w:rsidR="00E1620C" w:rsidRDefault="00C728B3" w:rsidP="00C8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  <w:u w:val="single"/>
        </w:rPr>
        <w:t>Service</w:t>
      </w:r>
      <w:r w:rsidR="00B5304B">
        <w:rPr>
          <w:rFonts w:ascii="Calibri" w:hAnsi="Calibri" w:cs="Calibri"/>
          <w:szCs w:val="32"/>
          <w:u w:val="single"/>
        </w:rPr>
        <w:t xml:space="preserve"> de</w:t>
      </w:r>
      <w:r>
        <w:rPr>
          <w:rFonts w:ascii="Calibri" w:hAnsi="Calibri" w:cs="Calibri"/>
          <w:szCs w:val="32"/>
          <w:u w:val="single"/>
        </w:rPr>
        <w:t xml:space="preserve"> Chirurgie G</w:t>
      </w:r>
      <w:r w:rsidRPr="00C728B3">
        <w:rPr>
          <w:rFonts w:ascii="Calibri" w:hAnsi="Calibri" w:cs="Calibri"/>
          <w:szCs w:val="32"/>
          <w:u w:val="single"/>
        </w:rPr>
        <w:t>ynécologique et référent recherche </w:t>
      </w:r>
      <w:r w:rsidRPr="00C728B3">
        <w:rPr>
          <w:rFonts w:ascii="Calibri" w:hAnsi="Calibri" w:cs="Calibri"/>
          <w:szCs w:val="32"/>
        </w:rPr>
        <w:t xml:space="preserve">: </w:t>
      </w:r>
    </w:p>
    <w:p w14:paraId="28A56890" w14:textId="77777777" w:rsidR="00C728B3" w:rsidRDefault="00C728B3" w:rsidP="00C8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32"/>
        </w:rPr>
      </w:pPr>
      <w:r w:rsidRPr="00C728B3">
        <w:rPr>
          <w:rFonts w:ascii="Calibri" w:hAnsi="Calibri" w:cs="Calibri"/>
          <w:szCs w:val="32"/>
        </w:rPr>
        <w:t>Dr Ferret (0,5 ETP- Assistant spécialiste)</w:t>
      </w:r>
    </w:p>
    <w:p w14:paraId="6CA93660" w14:textId="77777777" w:rsidR="00C728B3" w:rsidRPr="00C728B3" w:rsidRDefault="00C728B3" w:rsidP="00C87EF5">
      <w:pPr>
        <w:jc w:val="both"/>
        <w:rPr>
          <w:rFonts w:ascii="Calibri" w:hAnsi="Calibri" w:cs="Calibri"/>
          <w:szCs w:val="32"/>
        </w:rPr>
      </w:pPr>
    </w:p>
    <w:p w14:paraId="3297E774" w14:textId="538F6BAA" w:rsidR="00C728B3" w:rsidRPr="00C728B3" w:rsidRDefault="00C728B3" w:rsidP="00C87EF5">
      <w:pPr>
        <w:jc w:val="both"/>
        <w:rPr>
          <w:rFonts w:asciiTheme="majorHAnsi" w:hAnsiTheme="majorHAnsi"/>
        </w:rPr>
      </w:pPr>
      <w:r w:rsidRPr="009F6C5D">
        <w:rPr>
          <w:rFonts w:asciiTheme="majorHAnsi" w:hAnsiTheme="majorHAnsi"/>
          <w:b/>
        </w:rPr>
        <w:t>Les phar</w:t>
      </w:r>
      <w:r w:rsidR="00C87EF5" w:rsidRPr="009F6C5D">
        <w:rPr>
          <w:rFonts w:asciiTheme="majorHAnsi" w:hAnsiTheme="majorHAnsi"/>
          <w:b/>
        </w:rPr>
        <w:t>maciens cliniciens sont déployés à temps plein dans les différents services</w:t>
      </w:r>
      <w:r w:rsidR="00C87EF5">
        <w:rPr>
          <w:rFonts w:asciiTheme="majorHAnsi" w:hAnsiTheme="majorHAnsi"/>
        </w:rPr>
        <w:t xml:space="preserve"> et sont intégrés </w:t>
      </w:r>
      <w:r w:rsidRPr="00C728B3">
        <w:rPr>
          <w:rFonts w:asciiTheme="majorHAnsi" w:hAnsiTheme="majorHAnsi"/>
        </w:rPr>
        <w:t xml:space="preserve">au sein de différentes structures : Hospitalisation Conventionnelle, Hospitalisation de Jour, </w:t>
      </w:r>
      <w:r w:rsidR="00C87EF5">
        <w:rPr>
          <w:rFonts w:asciiTheme="majorHAnsi" w:hAnsiTheme="majorHAnsi"/>
        </w:rPr>
        <w:t xml:space="preserve">Hospitalisation de semaine, </w:t>
      </w:r>
      <w:r w:rsidRPr="00C728B3">
        <w:rPr>
          <w:rFonts w:asciiTheme="majorHAnsi" w:hAnsiTheme="majorHAnsi"/>
        </w:rPr>
        <w:t xml:space="preserve">Consultation. </w:t>
      </w:r>
    </w:p>
    <w:p w14:paraId="5DC8108C" w14:textId="77777777" w:rsidR="00C87EF5" w:rsidRDefault="00C87EF5" w:rsidP="00C87EF5">
      <w:pPr>
        <w:jc w:val="both"/>
        <w:rPr>
          <w:rFonts w:asciiTheme="majorHAnsi" w:hAnsiTheme="majorHAnsi"/>
        </w:rPr>
      </w:pPr>
    </w:p>
    <w:p w14:paraId="6DCC2588" w14:textId="7845D058" w:rsidR="000B1F61" w:rsidRPr="000B1F61" w:rsidRDefault="000B1F61" w:rsidP="00C87EF5">
      <w:pPr>
        <w:jc w:val="both"/>
        <w:rPr>
          <w:rFonts w:asciiTheme="majorHAnsi" w:hAnsiTheme="majorHAnsi"/>
          <w:b/>
        </w:rPr>
      </w:pPr>
      <w:r w:rsidRPr="000B1F61">
        <w:rPr>
          <w:rFonts w:asciiTheme="majorHAnsi" w:hAnsiTheme="majorHAnsi"/>
          <w:b/>
        </w:rPr>
        <w:t>ACTIVITÉS ET PROJET DE SEMESTRE</w:t>
      </w:r>
      <w:r w:rsidR="0097079F">
        <w:rPr>
          <w:rFonts w:asciiTheme="majorHAnsi" w:hAnsiTheme="majorHAnsi"/>
          <w:b/>
        </w:rPr>
        <w:t> :</w:t>
      </w:r>
    </w:p>
    <w:p w14:paraId="4BC8D408" w14:textId="77777777" w:rsidR="00C728B3" w:rsidRPr="00C728B3" w:rsidRDefault="00C728B3" w:rsidP="00C87EF5">
      <w:pPr>
        <w:jc w:val="both"/>
        <w:rPr>
          <w:rFonts w:asciiTheme="majorHAnsi" w:hAnsiTheme="majorHAnsi"/>
        </w:rPr>
      </w:pPr>
      <w:r w:rsidRPr="00C728B3">
        <w:rPr>
          <w:rFonts w:asciiTheme="majorHAnsi" w:hAnsiTheme="majorHAnsi"/>
        </w:rPr>
        <w:t xml:space="preserve">Les activités </w:t>
      </w:r>
      <w:r w:rsidR="00B5304B">
        <w:rPr>
          <w:rFonts w:asciiTheme="majorHAnsi" w:hAnsiTheme="majorHAnsi"/>
        </w:rPr>
        <w:t xml:space="preserve">de pharmacie clinique </w:t>
      </w:r>
      <w:r w:rsidRPr="00C728B3">
        <w:rPr>
          <w:rFonts w:asciiTheme="majorHAnsi" w:hAnsiTheme="majorHAnsi"/>
        </w:rPr>
        <w:t>dépendent du fonctionnement des services et des demandes médicales</w:t>
      </w:r>
      <w:r w:rsidR="00B5304B">
        <w:rPr>
          <w:rFonts w:asciiTheme="majorHAnsi" w:hAnsiTheme="majorHAnsi"/>
        </w:rPr>
        <w:t xml:space="preserve">, et </w:t>
      </w:r>
      <w:r w:rsidRPr="00C728B3">
        <w:rPr>
          <w:rFonts w:asciiTheme="majorHAnsi" w:hAnsiTheme="majorHAnsi"/>
        </w:rPr>
        <w:t xml:space="preserve">comprennent principalement: </w:t>
      </w:r>
    </w:p>
    <w:p w14:paraId="4AE69BEF" w14:textId="2D241860" w:rsidR="00097B9F" w:rsidRPr="009820CD" w:rsidRDefault="00097B9F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 w:rsidRPr="009820CD">
        <w:rPr>
          <w:rFonts w:asciiTheme="majorHAnsi" w:hAnsiTheme="majorHAnsi"/>
        </w:rPr>
        <w:t xml:space="preserve">l’optimisation du lien ville-hôpital : réalisation de conciliations médicamenteuses, plans de prise, suivis et disponibilités téléphoniques pour le patient, le pharmacien d’officine, le médecin traitant, l’infirmier libéral, les prestataires et </w:t>
      </w:r>
      <w:r w:rsidR="005A290F">
        <w:rPr>
          <w:rFonts w:asciiTheme="majorHAnsi" w:hAnsiTheme="majorHAnsi"/>
        </w:rPr>
        <w:t xml:space="preserve"> l</w:t>
      </w:r>
      <w:r w:rsidRPr="009820CD">
        <w:rPr>
          <w:rFonts w:asciiTheme="majorHAnsi" w:hAnsiTheme="majorHAnsi"/>
        </w:rPr>
        <w:t>’Hospitalisation à Domicile.</w:t>
      </w:r>
    </w:p>
    <w:p w14:paraId="727B1A09" w14:textId="3F04BF4B" w:rsidR="00C728B3" w:rsidRPr="00C728B3" w:rsidRDefault="00C728B3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 w:rsidRPr="00C728B3">
        <w:rPr>
          <w:rFonts w:asciiTheme="majorHAnsi" w:hAnsiTheme="majorHAnsi"/>
        </w:rPr>
        <w:lastRenderedPageBreak/>
        <w:t>la participation aux tours médicaux e</w:t>
      </w:r>
      <w:r w:rsidR="00B5304B">
        <w:rPr>
          <w:rFonts w:asciiTheme="majorHAnsi" w:hAnsiTheme="majorHAnsi"/>
        </w:rPr>
        <w:t>t aux transmissions de service.</w:t>
      </w:r>
    </w:p>
    <w:p w14:paraId="376E006E" w14:textId="77777777" w:rsidR="00C728B3" w:rsidRDefault="00C728B3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 w:rsidRPr="00C728B3">
        <w:rPr>
          <w:rFonts w:asciiTheme="majorHAnsi" w:hAnsiTheme="majorHAnsi"/>
        </w:rPr>
        <w:t>la réalisation d’entretiens pharmac</w:t>
      </w:r>
      <w:r w:rsidR="00B5304B">
        <w:rPr>
          <w:rFonts w:asciiTheme="majorHAnsi" w:hAnsiTheme="majorHAnsi"/>
        </w:rPr>
        <w:t>eutiques sur demande médicale.</w:t>
      </w:r>
    </w:p>
    <w:p w14:paraId="1213604B" w14:textId="77777777" w:rsidR="00C728B3" w:rsidRDefault="00C728B3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 w:rsidRPr="00C728B3">
        <w:rPr>
          <w:rFonts w:asciiTheme="majorHAnsi" w:hAnsiTheme="majorHAnsi"/>
        </w:rPr>
        <w:t>l’aide à</w:t>
      </w:r>
      <w:r w:rsidR="00B5304B">
        <w:rPr>
          <w:rFonts w:asciiTheme="majorHAnsi" w:hAnsiTheme="majorHAnsi"/>
        </w:rPr>
        <w:t xml:space="preserve"> l’optimisation thérapeutique.</w:t>
      </w:r>
    </w:p>
    <w:p w14:paraId="0C61D90B" w14:textId="07AC4D22" w:rsidR="00C728B3" w:rsidRDefault="00C728B3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 w:rsidRPr="00C728B3">
        <w:rPr>
          <w:rFonts w:asciiTheme="majorHAnsi" w:hAnsiTheme="majorHAnsi"/>
        </w:rPr>
        <w:t xml:space="preserve">l’aide à la gestion des problématiques sur le circuit du médicament </w:t>
      </w:r>
      <w:r w:rsidR="005A290F">
        <w:rPr>
          <w:rFonts w:asciiTheme="majorHAnsi" w:hAnsiTheme="majorHAnsi"/>
        </w:rPr>
        <w:t xml:space="preserve">en </w:t>
      </w:r>
      <w:r w:rsidR="00B5304B">
        <w:rPr>
          <w:rFonts w:asciiTheme="majorHAnsi" w:hAnsiTheme="majorHAnsi"/>
        </w:rPr>
        <w:t>lien avec la pharmacie</w:t>
      </w:r>
      <w:r w:rsidR="005A290F">
        <w:rPr>
          <w:rFonts w:asciiTheme="majorHAnsi" w:hAnsiTheme="majorHAnsi"/>
        </w:rPr>
        <w:t>.</w:t>
      </w:r>
    </w:p>
    <w:p w14:paraId="20D02C87" w14:textId="006DCCE5" w:rsidR="00C728B3" w:rsidRDefault="00C728B3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 w:rsidRPr="00C728B3">
        <w:rPr>
          <w:rFonts w:asciiTheme="majorHAnsi" w:hAnsiTheme="majorHAnsi"/>
        </w:rPr>
        <w:t>la participation à l’élaborati</w:t>
      </w:r>
      <w:r w:rsidR="00B5304B">
        <w:rPr>
          <w:rFonts w:asciiTheme="majorHAnsi" w:hAnsiTheme="majorHAnsi"/>
        </w:rPr>
        <w:t>on de protocoles thérapeutiques.</w:t>
      </w:r>
      <w:r w:rsidR="002939AD">
        <w:rPr>
          <w:rFonts w:asciiTheme="majorHAnsi" w:hAnsiTheme="majorHAnsi"/>
        </w:rPr>
        <w:t xml:space="preserve"> </w:t>
      </w:r>
    </w:p>
    <w:p w14:paraId="6D48ECFD" w14:textId="112B0035" w:rsidR="00C728B3" w:rsidRDefault="00C728B3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 w:rsidRPr="00C728B3">
        <w:rPr>
          <w:rFonts w:asciiTheme="majorHAnsi" w:hAnsiTheme="majorHAnsi"/>
        </w:rPr>
        <w:t>une disponibilité pour donner des avis téléphonique</w:t>
      </w:r>
      <w:r>
        <w:rPr>
          <w:rFonts w:asciiTheme="majorHAnsi" w:hAnsiTheme="majorHAnsi"/>
        </w:rPr>
        <w:t>s</w:t>
      </w:r>
      <w:r w:rsidRPr="00C728B3">
        <w:rPr>
          <w:rFonts w:asciiTheme="majorHAnsi" w:hAnsiTheme="majorHAnsi"/>
        </w:rPr>
        <w:t xml:space="preserve"> pour l’e</w:t>
      </w:r>
      <w:r w:rsidR="002939AD">
        <w:rPr>
          <w:rFonts w:asciiTheme="majorHAnsi" w:hAnsiTheme="majorHAnsi"/>
        </w:rPr>
        <w:t>nsemble des p</w:t>
      </w:r>
      <w:r w:rsidR="00B5304B">
        <w:rPr>
          <w:rFonts w:asciiTheme="majorHAnsi" w:hAnsiTheme="majorHAnsi"/>
        </w:rPr>
        <w:t>raticiens du pôle.</w:t>
      </w:r>
    </w:p>
    <w:p w14:paraId="21B89DB9" w14:textId="1397F9C8" w:rsidR="00B5304B" w:rsidRDefault="00C728B3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 w:rsidRPr="00C728B3">
        <w:rPr>
          <w:rFonts w:asciiTheme="majorHAnsi" w:hAnsiTheme="majorHAnsi"/>
        </w:rPr>
        <w:t>la participation aux consultations douleur et canc</w:t>
      </w:r>
      <w:r w:rsidR="002939AD">
        <w:rPr>
          <w:rFonts w:asciiTheme="majorHAnsi" w:hAnsiTheme="majorHAnsi"/>
        </w:rPr>
        <w:t xml:space="preserve">er (CETD) et aux consultations </w:t>
      </w:r>
      <w:r w:rsidRPr="00C728B3">
        <w:rPr>
          <w:rFonts w:asciiTheme="majorHAnsi" w:hAnsiTheme="majorHAnsi"/>
        </w:rPr>
        <w:t>de soins de support (EMSSP), en binôme médecin-pharmacien clinicien, avec mise en place d’un suivi téléphonique pour la gestion des traitements du pa</w:t>
      </w:r>
      <w:r w:rsidR="00B5304B">
        <w:rPr>
          <w:rFonts w:asciiTheme="majorHAnsi" w:hAnsiTheme="majorHAnsi"/>
        </w:rPr>
        <w:t>tient (efficacité et tolérance).</w:t>
      </w:r>
      <w:r w:rsidR="002939AD">
        <w:rPr>
          <w:rFonts w:asciiTheme="majorHAnsi" w:hAnsiTheme="majorHAnsi"/>
        </w:rPr>
        <w:t xml:space="preserve"> </w:t>
      </w:r>
    </w:p>
    <w:p w14:paraId="36B72E5E" w14:textId="2680958F" w:rsidR="00C87EF5" w:rsidRDefault="00C87EF5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Participation aux déclarations de </w:t>
      </w:r>
      <w:r w:rsidRPr="00C55C62">
        <w:rPr>
          <w:rFonts w:asciiTheme="majorHAnsi" w:hAnsiTheme="majorHAnsi"/>
        </w:rPr>
        <w:t>Pharmacovigilance</w:t>
      </w:r>
      <w:r w:rsidR="00E1238A">
        <w:rPr>
          <w:rFonts w:asciiTheme="majorHAnsi" w:hAnsiTheme="majorHAnsi"/>
        </w:rPr>
        <w:t xml:space="preserve"> </w:t>
      </w:r>
      <w:r w:rsidR="00981031" w:rsidRPr="00C55C62">
        <w:rPr>
          <w:rFonts w:asciiTheme="majorHAnsi" w:hAnsiTheme="majorHAnsi"/>
        </w:rPr>
        <w:t>en lien avec la pharmacie</w:t>
      </w:r>
    </w:p>
    <w:p w14:paraId="6449EEC2" w14:textId="6CB7787F" w:rsidR="00C728B3" w:rsidRDefault="005C74A4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Participation </w:t>
      </w:r>
      <w:r w:rsidR="00C728B3" w:rsidRPr="00B5304B">
        <w:rPr>
          <w:rFonts w:asciiTheme="majorHAnsi" w:hAnsiTheme="majorHAnsi"/>
        </w:rPr>
        <w:t>avec l’ensemble des autres pharmaciens de l’établissement aux revues hebdomadaires des interventions pharmaceutiques, staffs de présentation des nouvelles molécules, commissions institutionnelles (COMED, CODIMS, CLUD, Collégial</w:t>
      </w:r>
      <w:r w:rsidR="002939AD">
        <w:rPr>
          <w:rFonts w:asciiTheme="majorHAnsi" w:hAnsiTheme="majorHAnsi"/>
        </w:rPr>
        <w:t xml:space="preserve">e des soins palliatifs, etc.). </w:t>
      </w:r>
    </w:p>
    <w:p w14:paraId="0359755A" w14:textId="46F1BDBC" w:rsidR="00E1620C" w:rsidRPr="005A290F" w:rsidRDefault="00E1620C" w:rsidP="004C35E0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</w:rPr>
      </w:pPr>
      <w:r w:rsidRPr="00E1620C">
        <w:rPr>
          <w:rFonts w:asciiTheme="majorHAnsi" w:hAnsiTheme="majorHAnsi"/>
        </w:rPr>
        <w:t>Recherche :</w:t>
      </w:r>
      <w:r w:rsidR="002939AD">
        <w:rPr>
          <w:rFonts w:asciiTheme="majorHAnsi" w:hAnsiTheme="majorHAnsi"/>
        </w:rPr>
        <w:t xml:space="preserve"> l</w:t>
      </w:r>
      <w:r w:rsidRPr="00E1620C">
        <w:rPr>
          <w:rFonts w:asciiTheme="majorHAnsi" w:hAnsiTheme="majorHAnsi"/>
        </w:rPr>
        <w:t>’interne sera amené à intégrer les projets de recherche en pharmacie clinique en cours mais également développer ses propres sujets de recherche pouvant conduire à des publications o</w:t>
      </w:r>
      <w:r w:rsidR="002939AD">
        <w:rPr>
          <w:rFonts w:asciiTheme="majorHAnsi" w:hAnsiTheme="majorHAnsi"/>
        </w:rPr>
        <w:t xml:space="preserve">u des </w:t>
      </w:r>
      <w:r w:rsidR="002939AD" w:rsidRPr="005A290F">
        <w:rPr>
          <w:rFonts w:asciiTheme="majorHAnsi" w:hAnsiTheme="majorHAnsi"/>
        </w:rPr>
        <w:t xml:space="preserve">présentations en congrès. </w:t>
      </w:r>
      <w:r w:rsidRPr="005A290F">
        <w:rPr>
          <w:rFonts w:asciiTheme="majorHAnsi" w:hAnsiTheme="majorHAnsi"/>
        </w:rPr>
        <w:t>L’interne aura accès à l’Unité de Recherche Clinique du Cent</w:t>
      </w:r>
      <w:r w:rsidR="005A290F" w:rsidRPr="005A290F">
        <w:rPr>
          <w:rFonts w:asciiTheme="majorHAnsi" w:hAnsiTheme="majorHAnsi"/>
        </w:rPr>
        <w:t xml:space="preserve">re Hospitalier de Valenciennes </w:t>
      </w:r>
      <w:r w:rsidRPr="005A290F">
        <w:rPr>
          <w:rFonts w:asciiTheme="majorHAnsi" w:hAnsiTheme="majorHAnsi"/>
        </w:rPr>
        <w:t>et au Centre de documentation et d’information de l’établissement pour ses travaux de recherche, notamment la thèse de D</w:t>
      </w:r>
      <w:r w:rsidR="009820CD" w:rsidRPr="005A290F">
        <w:rPr>
          <w:rFonts w:asciiTheme="majorHAnsi" w:hAnsiTheme="majorHAnsi"/>
        </w:rPr>
        <w:t xml:space="preserve">ES de Pharmacie Hospitalière. </w:t>
      </w:r>
    </w:p>
    <w:p w14:paraId="19F7AE40" w14:textId="77777777" w:rsidR="00C728B3" w:rsidRDefault="00C728B3" w:rsidP="00C87EF5">
      <w:pPr>
        <w:pStyle w:val="Paragraphedeliste"/>
        <w:ind w:left="360"/>
        <w:rPr>
          <w:rFonts w:asciiTheme="majorHAnsi" w:hAnsiTheme="majorHAnsi"/>
        </w:rPr>
      </w:pPr>
    </w:p>
    <w:p w14:paraId="2610AD9E" w14:textId="77777777" w:rsidR="00DE0DE9" w:rsidRPr="00E1620C" w:rsidRDefault="00DE0DE9" w:rsidP="00C87EF5">
      <w:pPr>
        <w:pStyle w:val="Paragraphedeliste"/>
        <w:ind w:left="360"/>
        <w:rPr>
          <w:rFonts w:asciiTheme="majorHAnsi" w:hAnsiTheme="majorHAnsi"/>
        </w:rPr>
      </w:pPr>
    </w:p>
    <w:p w14:paraId="37075438" w14:textId="2D64BDCD" w:rsidR="00097B9F" w:rsidRDefault="0097079F" w:rsidP="00097B9F">
      <w:pPr>
        <w:jc w:val="both"/>
        <w:rPr>
          <w:rFonts w:asciiTheme="majorHAnsi" w:hAnsiTheme="majorHAnsi"/>
          <w:highlight w:val="yellow"/>
        </w:rPr>
      </w:pPr>
      <w:r>
        <w:rPr>
          <w:rFonts w:asciiTheme="majorHAnsi" w:hAnsiTheme="majorHAnsi"/>
          <w:b/>
        </w:rPr>
        <w:t>OBJECTIFS PÉDAGOGIQUES :</w:t>
      </w:r>
      <w:r w:rsidR="00097B9F" w:rsidRPr="00097B9F">
        <w:rPr>
          <w:rFonts w:asciiTheme="majorHAnsi" w:hAnsiTheme="majorHAnsi"/>
          <w:highlight w:val="yellow"/>
        </w:rPr>
        <w:t xml:space="preserve"> </w:t>
      </w:r>
    </w:p>
    <w:p w14:paraId="2F36B526" w14:textId="77777777" w:rsidR="00097B9F" w:rsidRPr="004611B4" w:rsidRDefault="00097B9F" w:rsidP="002939AD">
      <w:pPr>
        <w:jc w:val="both"/>
        <w:rPr>
          <w:rFonts w:ascii="Calibri" w:hAnsi="Calibri"/>
        </w:rPr>
      </w:pPr>
      <w:r w:rsidRPr="004611B4">
        <w:rPr>
          <w:rFonts w:ascii="Calibri" w:hAnsi="Calibri"/>
        </w:rPr>
        <w:t>L’interne sera encadré par les 2 phar</w:t>
      </w:r>
      <w:r>
        <w:rPr>
          <w:rFonts w:ascii="Calibri" w:hAnsi="Calibri"/>
        </w:rPr>
        <w:t xml:space="preserve">maciens cliniciens seniors </w:t>
      </w:r>
      <w:r w:rsidRPr="005D4993">
        <w:rPr>
          <w:rFonts w:ascii="Calibri" w:hAnsi="Calibri"/>
        </w:rPr>
        <w:t>et les 3 assistants spécialistes</w:t>
      </w:r>
      <w:r w:rsidRPr="004611B4">
        <w:rPr>
          <w:rFonts w:ascii="Calibri" w:hAnsi="Calibri"/>
        </w:rPr>
        <w:t>.</w:t>
      </w:r>
    </w:p>
    <w:p w14:paraId="7F73C67B" w14:textId="501F161D" w:rsidR="005C74A4" w:rsidRPr="009820CD" w:rsidRDefault="00097B9F" w:rsidP="005C74A4">
      <w:pPr>
        <w:jc w:val="both"/>
        <w:rPr>
          <w:rFonts w:asciiTheme="majorHAnsi" w:hAnsiTheme="majorHAnsi"/>
        </w:rPr>
      </w:pPr>
      <w:r w:rsidRPr="004611B4">
        <w:rPr>
          <w:rFonts w:ascii="Calibri" w:hAnsi="Calibri"/>
        </w:rPr>
        <w:t xml:space="preserve">Il sera formé </w:t>
      </w:r>
      <w:r w:rsidRPr="009820CD">
        <w:rPr>
          <w:rFonts w:ascii="Calibri" w:hAnsi="Calibri"/>
        </w:rPr>
        <w:t xml:space="preserve">sur les différentes activités de pharmacie clinique, en suivant chacun des </w:t>
      </w:r>
      <w:r w:rsidR="005C74A4" w:rsidRPr="009820CD">
        <w:rPr>
          <w:rFonts w:ascii="Calibri" w:hAnsi="Calibri"/>
        </w:rPr>
        <w:t xml:space="preserve">pharmaciens dans leurs services : il </w:t>
      </w:r>
      <w:r w:rsidR="005C74A4" w:rsidRPr="009820CD">
        <w:rPr>
          <w:rFonts w:asciiTheme="majorHAnsi" w:hAnsiTheme="majorHAnsi"/>
        </w:rPr>
        <w:t>travaillera dans les services de G</w:t>
      </w:r>
      <w:r w:rsidR="00600710">
        <w:rPr>
          <w:rFonts w:asciiTheme="majorHAnsi" w:hAnsiTheme="majorHAnsi"/>
        </w:rPr>
        <w:t>astro-entérologie, Rhumatologie, CETD, Oncologie Médicale ou Hématologie Clinique.</w:t>
      </w:r>
    </w:p>
    <w:p w14:paraId="38826F04" w14:textId="25E11510" w:rsidR="005A290F" w:rsidRPr="005A290F" w:rsidRDefault="00097B9F" w:rsidP="00C87EF5">
      <w:pPr>
        <w:jc w:val="both"/>
        <w:rPr>
          <w:rFonts w:ascii="Calibri" w:hAnsi="Calibri"/>
        </w:rPr>
      </w:pPr>
      <w:r w:rsidRPr="009820CD">
        <w:rPr>
          <w:rFonts w:ascii="Calibri" w:hAnsi="Calibri"/>
        </w:rPr>
        <w:t>L’objectif étant de lui apporter une autonomie progressive sur les différentes activités de pharmacie clinique.</w:t>
      </w:r>
      <w:r w:rsidRPr="004611B4">
        <w:rPr>
          <w:rFonts w:ascii="Calibri" w:hAnsi="Calibri"/>
        </w:rPr>
        <w:t xml:space="preserve"> </w:t>
      </w:r>
    </w:p>
    <w:p w14:paraId="69AF43C3" w14:textId="7C1B5C51" w:rsidR="00C87EF5" w:rsidRDefault="00C87EF5" w:rsidP="00C87EF5">
      <w:pPr>
        <w:pStyle w:val="Paragraphedeliste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Acquérir l</w:t>
      </w:r>
      <w:r w:rsidRPr="00B5304B">
        <w:rPr>
          <w:rFonts w:asciiTheme="majorHAnsi" w:hAnsiTheme="majorHAnsi"/>
        </w:rPr>
        <w:t xml:space="preserve">es </w:t>
      </w:r>
      <w:r>
        <w:rPr>
          <w:rFonts w:asciiTheme="majorHAnsi" w:hAnsiTheme="majorHAnsi"/>
        </w:rPr>
        <w:t>principaux outils de pharmacie clinique (conciliation médicamenteuse,  entretien pharmaceutique, plan de prise)</w:t>
      </w:r>
    </w:p>
    <w:p w14:paraId="563602AF" w14:textId="03B3E8A4" w:rsidR="00B5304B" w:rsidRPr="00B5304B" w:rsidRDefault="00C728B3" w:rsidP="00C87EF5">
      <w:pPr>
        <w:pStyle w:val="Paragraphedeliste"/>
        <w:numPr>
          <w:ilvl w:val="0"/>
          <w:numId w:val="9"/>
        </w:numPr>
        <w:jc w:val="both"/>
        <w:rPr>
          <w:rFonts w:asciiTheme="majorHAnsi" w:hAnsiTheme="majorHAnsi"/>
        </w:rPr>
      </w:pPr>
      <w:r w:rsidRPr="00B5304B">
        <w:rPr>
          <w:rFonts w:asciiTheme="majorHAnsi" w:hAnsiTheme="majorHAnsi"/>
        </w:rPr>
        <w:t>Savoir s’intégrer et s’adapter aux service</w:t>
      </w:r>
      <w:r w:rsidR="002939AD">
        <w:rPr>
          <w:rFonts w:asciiTheme="majorHAnsi" w:hAnsiTheme="majorHAnsi"/>
        </w:rPr>
        <w:t xml:space="preserve">s de soins : travail en équipe, </w:t>
      </w:r>
      <w:r w:rsidRPr="00B5304B">
        <w:rPr>
          <w:rFonts w:asciiTheme="majorHAnsi" w:hAnsiTheme="majorHAnsi"/>
        </w:rPr>
        <w:t>collaboration avec les autres profession</w:t>
      </w:r>
      <w:r w:rsidR="002939AD">
        <w:rPr>
          <w:rFonts w:asciiTheme="majorHAnsi" w:hAnsiTheme="majorHAnsi"/>
        </w:rPr>
        <w:t>nels de santé et paramédicaux interdisciplinarité),</w:t>
      </w:r>
    </w:p>
    <w:p w14:paraId="7111D98D" w14:textId="5402EE5E" w:rsidR="00B5304B" w:rsidRPr="00B5304B" w:rsidRDefault="00C728B3" w:rsidP="00C87EF5">
      <w:pPr>
        <w:pStyle w:val="Paragraphedeliste"/>
        <w:numPr>
          <w:ilvl w:val="0"/>
          <w:numId w:val="9"/>
        </w:numPr>
        <w:jc w:val="both"/>
        <w:rPr>
          <w:rFonts w:asciiTheme="majorHAnsi" w:hAnsiTheme="majorHAnsi"/>
        </w:rPr>
      </w:pPr>
      <w:r w:rsidRPr="00B5304B">
        <w:rPr>
          <w:rFonts w:asciiTheme="majorHAnsi" w:hAnsiTheme="majorHAnsi"/>
        </w:rPr>
        <w:t>Assurer la prise de décision et la participation</w:t>
      </w:r>
      <w:r w:rsidR="002939AD">
        <w:rPr>
          <w:rFonts w:asciiTheme="majorHAnsi" w:hAnsiTheme="majorHAnsi"/>
        </w:rPr>
        <w:t xml:space="preserve"> efficace au sein d’une équipe,</w:t>
      </w:r>
    </w:p>
    <w:p w14:paraId="54D3D83A" w14:textId="26A63F01" w:rsidR="00B5304B" w:rsidRPr="00B5304B" w:rsidRDefault="00C728B3" w:rsidP="00C87EF5">
      <w:pPr>
        <w:pStyle w:val="Paragraphedeliste"/>
        <w:numPr>
          <w:ilvl w:val="0"/>
          <w:numId w:val="9"/>
        </w:numPr>
        <w:jc w:val="both"/>
        <w:rPr>
          <w:rFonts w:asciiTheme="majorHAnsi" w:hAnsiTheme="majorHAnsi"/>
        </w:rPr>
      </w:pPr>
      <w:r w:rsidRPr="00B5304B">
        <w:rPr>
          <w:rFonts w:asciiTheme="majorHAnsi" w:hAnsiTheme="majorHAnsi"/>
        </w:rPr>
        <w:t>Aptitude à résoudre les pro</w:t>
      </w:r>
      <w:r w:rsidR="002939AD">
        <w:rPr>
          <w:rFonts w:asciiTheme="majorHAnsi" w:hAnsiTheme="majorHAnsi"/>
        </w:rPr>
        <w:t>blèmes pharmaco-thérapeutiques,</w:t>
      </w:r>
    </w:p>
    <w:p w14:paraId="5E1B1963" w14:textId="061A9D68" w:rsidR="00B5304B" w:rsidRPr="00B5304B" w:rsidRDefault="00C87EF5" w:rsidP="00C87EF5">
      <w:pPr>
        <w:pStyle w:val="Paragraphedeliste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Acquérir les </w:t>
      </w:r>
      <w:r w:rsidR="00C728B3" w:rsidRPr="00B5304B">
        <w:rPr>
          <w:rFonts w:asciiTheme="majorHAnsi" w:hAnsiTheme="majorHAnsi"/>
        </w:rPr>
        <w:t>compétences techniques sur</w:t>
      </w:r>
      <w:r w:rsidR="002939AD">
        <w:rPr>
          <w:rFonts w:asciiTheme="majorHAnsi" w:hAnsiTheme="majorHAnsi"/>
        </w:rPr>
        <w:t xml:space="preserve"> les traitements médicamenteux </w:t>
      </w:r>
      <w:r w:rsidR="00C728B3" w:rsidRPr="00B5304B">
        <w:rPr>
          <w:rFonts w:asciiTheme="majorHAnsi" w:hAnsiTheme="majorHAnsi"/>
        </w:rPr>
        <w:t>courants, les thérapies spécifiques (ch</w:t>
      </w:r>
      <w:r w:rsidR="002939AD">
        <w:rPr>
          <w:rFonts w:asciiTheme="majorHAnsi" w:hAnsiTheme="majorHAnsi"/>
        </w:rPr>
        <w:t xml:space="preserve">imiothérapie, thérapie ciblée, </w:t>
      </w:r>
      <w:r w:rsidR="00C728B3" w:rsidRPr="00B5304B">
        <w:rPr>
          <w:rFonts w:asciiTheme="majorHAnsi" w:hAnsiTheme="majorHAnsi"/>
        </w:rPr>
        <w:t xml:space="preserve">biothérapies, etc.) </w:t>
      </w:r>
    </w:p>
    <w:p w14:paraId="2026BFFB" w14:textId="73A7C959" w:rsidR="00097B9F" w:rsidRDefault="00C728B3" w:rsidP="00E1238A">
      <w:pPr>
        <w:pStyle w:val="Paragraphedeliste"/>
        <w:numPr>
          <w:ilvl w:val="0"/>
          <w:numId w:val="9"/>
        </w:numPr>
        <w:jc w:val="both"/>
        <w:rPr>
          <w:rFonts w:asciiTheme="majorHAnsi" w:hAnsiTheme="majorHAnsi"/>
        </w:rPr>
      </w:pPr>
      <w:r w:rsidRPr="00C55C62">
        <w:rPr>
          <w:rFonts w:asciiTheme="majorHAnsi" w:hAnsiTheme="majorHAnsi"/>
        </w:rPr>
        <w:t>Savoir se positionner face au patient dans</w:t>
      </w:r>
      <w:r w:rsidR="00B5304B" w:rsidRPr="00C55C62">
        <w:rPr>
          <w:rFonts w:asciiTheme="majorHAnsi" w:hAnsiTheme="majorHAnsi"/>
        </w:rPr>
        <w:t xml:space="preserve"> son environnement et se former</w:t>
      </w:r>
      <w:r w:rsidR="002939AD" w:rsidRPr="00C55C62">
        <w:rPr>
          <w:rFonts w:asciiTheme="majorHAnsi" w:hAnsiTheme="majorHAnsi"/>
        </w:rPr>
        <w:t xml:space="preserve"> </w:t>
      </w:r>
      <w:r w:rsidRPr="00C55C62">
        <w:rPr>
          <w:rFonts w:asciiTheme="majorHAnsi" w:hAnsiTheme="majorHAnsi"/>
        </w:rPr>
        <w:t>aux grands principes</w:t>
      </w:r>
      <w:r w:rsidR="002939AD" w:rsidRPr="00C55C62">
        <w:rPr>
          <w:rFonts w:asciiTheme="majorHAnsi" w:hAnsiTheme="majorHAnsi"/>
        </w:rPr>
        <w:t xml:space="preserve"> de la relation thérapeutique. </w:t>
      </w:r>
    </w:p>
    <w:p w14:paraId="4FA91ED5" w14:textId="77777777" w:rsidR="00DE0DE9" w:rsidRDefault="00DE0DE9" w:rsidP="00DE0DE9">
      <w:pPr>
        <w:pStyle w:val="Paragraphedeliste"/>
        <w:ind w:left="360"/>
        <w:jc w:val="both"/>
        <w:rPr>
          <w:rFonts w:asciiTheme="majorHAnsi" w:hAnsiTheme="majorHAnsi"/>
        </w:rPr>
      </w:pPr>
    </w:p>
    <w:p w14:paraId="68E150E0" w14:textId="77777777" w:rsidR="00DE0DE9" w:rsidRDefault="00DE0DE9" w:rsidP="00DE0DE9">
      <w:pPr>
        <w:pStyle w:val="Paragraphedeliste"/>
        <w:ind w:left="360"/>
        <w:jc w:val="both"/>
        <w:rPr>
          <w:rFonts w:asciiTheme="majorHAnsi" w:hAnsiTheme="majorHAnsi"/>
        </w:rPr>
      </w:pPr>
    </w:p>
    <w:p w14:paraId="43FFD553" w14:textId="1DAD5653" w:rsidR="00DE0DE9" w:rsidRPr="00DE0DE9" w:rsidRDefault="00DE0DE9" w:rsidP="00DE0DE9">
      <w:pPr>
        <w:jc w:val="both"/>
        <w:rPr>
          <w:rFonts w:asciiTheme="majorHAnsi" w:hAnsiTheme="majorHAnsi"/>
          <w:b/>
        </w:rPr>
      </w:pPr>
      <w:r w:rsidRPr="00DE0DE9">
        <w:rPr>
          <w:rFonts w:asciiTheme="majorHAnsi" w:hAnsiTheme="majorHAnsi"/>
          <w:b/>
        </w:rPr>
        <w:t xml:space="preserve">PERMANENCE PHARMACEUTIQUE : </w:t>
      </w:r>
    </w:p>
    <w:p w14:paraId="1DD55E69" w14:textId="2E2AB88C" w:rsidR="00DE0DE9" w:rsidRPr="00DE0DE9" w:rsidRDefault="00DE0DE9" w:rsidP="00DE0D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L’interne participe aux gardes de pharmacie avec l’ensemble des inter</w:t>
      </w:r>
      <w:r w:rsidR="00600710">
        <w:rPr>
          <w:rFonts w:asciiTheme="majorHAnsi" w:hAnsiTheme="majorHAnsi"/>
        </w:rPr>
        <w:t>nes.</w:t>
      </w:r>
      <w:bookmarkStart w:id="0" w:name="_GoBack"/>
      <w:bookmarkEnd w:id="0"/>
    </w:p>
    <w:sectPr w:rsidR="00DE0DE9" w:rsidRPr="00DE0DE9" w:rsidSect="00DE0DE9">
      <w:headerReference w:type="default" r:id="rId9"/>
      <w:footerReference w:type="even" r:id="rId10"/>
      <w:footerReference w:type="default" r:id="rId11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E5E3" w14:textId="77777777" w:rsidR="008B4BC8" w:rsidRDefault="008B4BC8" w:rsidP="00E1620C">
      <w:r>
        <w:separator/>
      </w:r>
    </w:p>
  </w:endnote>
  <w:endnote w:type="continuationSeparator" w:id="0">
    <w:p w14:paraId="3C9BE37F" w14:textId="77777777" w:rsidR="008B4BC8" w:rsidRDefault="008B4BC8" w:rsidP="00E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1A0B" w14:textId="77777777" w:rsidR="00C87EF5" w:rsidRDefault="00C87EF5" w:rsidP="00C87E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7CFC53" w14:textId="77777777" w:rsidR="00C87EF5" w:rsidRDefault="00C87EF5" w:rsidP="00E162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5497" w14:textId="77777777" w:rsidR="00C87EF5" w:rsidRDefault="00C87EF5" w:rsidP="00C87E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071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AB012A" w14:textId="77777777" w:rsidR="00C87EF5" w:rsidRDefault="00C87EF5" w:rsidP="00E162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6B498" w14:textId="77777777" w:rsidR="008B4BC8" w:rsidRDefault="008B4BC8" w:rsidP="00E1620C">
      <w:r>
        <w:separator/>
      </w:r>
    </w:p>
  </w:footnote>
  <w:footnote w:type="continuationSeparator" w:id="0">
    <w:p w14:paraId="2829A3D2" w14:textId="77777777" w:rsidR="008B4BC8" w:rsidRDefault="008B4BC8" w:rsidP="00E1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055"/>
      <w:gridCol w:w="5386"/>
      <w:gridCol w:w="1765"/>
    </w:tblGrid>
    <w:tr w:rsidR="00C87EF5" w:rsidRPr="00E1620C" w14:paraId="56DD1837" w14:textId="77777777" w:rsidTr="00E1238A">
      <w:trPr>
        <w:trHeight w:val="416"/>
        <w:jc w:val="center"/>
      </w:trPr>
      <w:tc>
        <w:tcPr>
          <w:tcW w:w="2055" w:type="dxa"/>
        </w:tcPr>
        <w:p w14:paraId="4E183D39" w14:textId="70CDB836" w:rsidR="00E1238A" w:rsidRPr="00E1620C" w:rsidRDefault="00C87EF5" w:rsidP="00E1238A">
          <w:pPr>
            <w:pStyle w:val="En-tte"/>
            <w:rPr>
              <w:rFonts w:asciiTheme="majorHAnsi" w:hAnsiTheme="majorHAnsi"/>
            </w:rPr>
          </w:pPr>
          <w:r w:rsidRPr="00E1620C">
            <w:rPr>
              <w:rFonts w:asciiTheme="majorHAnsi" w:hAnsiTheme="majorHAnsi"/>
            </w:rPr>
            <w:t>CH VALENCIENNES</w:t>
          </w:r>
          <w:r w:rsidR="00E1238A">
            <w:rPr>
              <w:rFonts w:asciiTheme="majorHAnsi" w:hAnsiTheme="majorHAnsi"/>
            </w:rPr>
            <w:t xml:space="preserve"> </w:t>
          </w:r>
          <w:r w:rsidR="00E1238A" w:rsidRPr="00E1238A">
            <w:rPr>
              <w:rFonts w:asciiTheme="majorHAnsi" w:hAnsiTheme="majorHAnsi"/>
              <w:noProof/>
            </w:rPr>
            <w:drawing>
              <wp:inline distT="0" distB="0" distL="0" distR="0" wp14:anchorId="5D251259" wp14:editId="10297E8E">
                <wp:extent cx="544195" cy="479425"/>
                <wp:effectExtent l="0" t="0" r="0" b="3175"/>
                <wp:docPr id="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834" cy="481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12F19112" w14:textId="77777777" w:rsidR="00C87EF5" w:rsidRDefault="00C87EF5" w:rsidP="00E1620C">
          <w:pPr>
            <w:pStyle w:val="En-tte"/>
            <w:jc w:val="center"/>
            <w:rPr>
              <w:rFonts w:asciiTheme="majorHAnsi" w:hAnsiTheme="majorHAnsi"/>
              <w:b/>
            </w:rPr>
          </w:pPr>
        </w:p>
        <w:p w14:paraId="58571F74" w14:textId="77777777" w:rsidR="00C87EF5" w:rsidRPr="00E1620C" w:rsidRDefault="00C87EF5" w:rsidP="00E1620C">
          <w:pPr>
            <w:pStyle w:val="En-tte"/>
            <w:jc w:val="center"/>
            <w:rPr>
              <w:rFonts w:asciiTheme="majorHAnsi" w:hAnsiTheme="majorHAnsi"/>
            </w:rPr>
          </w:pPr>
          <w:r w:rsidRPr="00E1620C">
            <w:rPr>
              <w:rFonts w:asciiTheme="majorHAnsi" w:hAnsiTheme="majorHAnsi"/>
              <w:b/>
            </w:rPr>
            <w:t>FICHE DE POSTE INTERNE EN PHARMACIE CLINIQUE</w:t>
          </w:r>
        </w:p>
      </w:tc>
      <w:tc>
        <w:tcPr>
          <w:tcW w:w="1765" w:type="dxa"/>
        </w:tcPr>
        <w:p w14:paraId="215E7CA9" w14:textId="6246C325" w:rsidR="00C87EF5" w:rsidRPr="00E1620C" w:rsidRDefault="00C87EF5" w:rsidP="00E1620C">
          <w:pPr>
            <w:jc w:val="right"/>
            <w:rPr>
              <w:rFonts w:asciiTheme="majorHAnsi" w:hAnsiTheme="majorHAnsi"/>
            </w:rPr>
          </w:pPr>
          <w:r w:rsidRPr="00E1620C">
            <w:rPr>
              <w:rFonts w:asciiTheme="majorHAnsi" w:hAnsiTheme="majorHAnsi"/>
            </w:rPr>
            <w:t>V.</w:t>
          </w:r>
          <w:r w:rsidR="00752886">
            <w:rPr>
              <w:rFonts w:asciiTheme="majorHAnsi" w:hAnsiTheme="majorHAnsi"/>
            </w:rPr>
            <w:t>0</w:t>
          </w:r>
          <w:r w:rsidR="00600710">
            <w:rPr>
              <w:rFonts w:asciiTheme="majorHAnsi" w:hAnsiTheme="majorHAnsi"/>
            </w:rPr>
            <w:t>3</w:t>
          </w:r>
        </w:p>
        <w:p w14:paraId="40E118DD" w14:textId="12D40A9B" w:rsidR="00C87EF5" w:rsidRDefault="00600710" w:rsidP="0004252A">
          <w:pPr>
            <w:jc w:val="righ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28/08</w:t>
          </w:r>
          <w:r w:rsidR="00752886">
            <w:rPr>
              <w:rFonts w:asciiTheme="majorHAnsi" w:hAnsiTheme="majorHAnsi"/>
            </w:rPr>
            <w:t>/2019</w:t>
          </w:r>
        </w:p>
        <w:p w14:paraId="1683BC57" w14:textId="77777777" w:rsidR="00C87EF5" w:rsidRPr="00E1620C" w:rsidRDefault="00C87EF5" w:rsidP="00E1620C">
          <w:pPr>
            <w:jc w:val="right"/>
            <w:rPr>
              <w:rFonts w:asciiTheme="majorHAnsi" w:hAnsiTheme="majorHAnsi"/>
            </w:rPr>
          </w:pPr>
        </w:p>
      </w:tc>
    </w:tr>
  </w:tbl>
  <w:p w14:paraId="7AF6E22C" w14:textId="53742527" w:rsidR="00C87EF5" w:rsidRDefault="00C87E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04151"/>
    <w:multiLevelType w:val="multilevel"/>
    <w:tmpl w:val="BD82A9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1C05214B"/>
    <w:multiLevelType w:val="hybridMultilevel"/>
    <w:tmpl w:val="E44267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B1FA2"/>
    <w:multiLevelType w:val="multilevel"/>
    <w:tmpl w:val="F37EB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pStyle w:val="Titre3"/>
      <w:lvlText w:val="%1.%2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21D25D0"/>
    <w:multiLevelType w:val="hybridMultilevel"/>
    <w:tmpl w:val="B28C4DCA"/>
    <w:lvl w:ilvl="0" w:tplc="A23EC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254F2"/>
    <w:multiLevelType w:val="hybridMultilevel"/>
    <w:tmpl w:val="C7D27BF4"/>
    <w:lvl w:ilvl="0" w:tplc="B7C0D9A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10D5F"/>
    <w:multiLevelType w:val="hybridMultilevel"/>
    <w:tmpl w:val="196EF830"/>
    <w:lvl w:ilvl="0" w:tplc="45B82CC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02040"/>
    <w:multiLevelType w:val="hybridMultilevel"/>
    <w:tmpl w:val="1C288C4C"/>
    <w:lvl w:ilvl="0" w:tplc="A23ECBA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B3"/>
    <w:rsid w:val="0004252A"/>
    <w:rsid w:val="00097B9F"/>
    <w:rsid w:val="000B1F61"/>
    <w:rsid w:val="000B26E0"/>
    <w:rsid w:val="00284359"/>
    <w:rsid w:val="002939AD"/>
    <w:rsid w:val="004C35E0"/>
    <w:rsid w:val="004C4EC9"/>
    <w:rsid w:val="005A290F"/>
    <w:rsid w:val="005C74A4"/>
    <w:rsid w:val="00600710"/>
    <w:rsid w:val="007126E5"/>
    <w:rsid w:val="00752886"/>
    <w:rsid w:val="00767514"/>
    <w:rsid w:val="00861A84"/>
    <w:rsid w:val="008B4BC8"/>
    <w:rsid w:val="008E41A4"/>
    <w:rsid w:val="00941D3A"/>
    <w:rsid w:val="0097079F"/>
    <w:rsid w:val="00981031"/>
    <w:rsid w:val="009820CD"/>
    <w:rsid w:val="009B619C"/>
    <w:rsid w:val="009F6C5D"/>
    <w:rsid w:val="00A13DF0"/>
    <w:rsid w:val="00B5304B"/>
    <w:rsid w:val="00C55C62"/>
    <w:rsid w:val="00C728B3"/>
    <w:rsid w:val="00C87EF5"/>
    <w:rsid w:val="00CB022A"/>
    <w:rsid w:val="00DE0DE9"/>
    <w:rsid w:val="00E1238A"/>
    <w:rsid w:val="00E1620C"/>
    <w:rsid w:val="00E356E0"/>
    <w:rsid w:val="00EA3AB2"/>
    <w:rsid w:val="00F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39F31"/>
  <w14:defaultImageDpi w14:val="300"/>
  <w15:docId w15:val="{A359AB0D-003F-4954-A5FA-DFB9FF4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Corpsdetexte"/>
    <w:link w:val="Titre3Car"/>
    <w:autoRedefine/>
    <w:qFormat/>
    <w:rsid w:val="009B619C"/>
    <w:pPr>
      <w:keepNext/>
      <w:widowControl w:val="0"/>
      <w:numPr>
        <w:ilvl w:val="2"/>
        <w:numId w:val="2"/>
      </w:numPr>
      <w:suppressAutoHyphens/>
      <w:spacing w:before="240" w:after="120"/>
      <w:outlineLvl w:val="2"/>
    </w:pPr>
    <w:rPr>
      <w:rFonts w:asciiTheme="majorHAnsi" w:eastAsia="Times New Roman" w:hAnsiTheme="majorHAnsi" w:cs="Times New Roman"/>
      <w:szCs w:val="20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B619C"/>
    <w:rPr>
      <w:rFonts w:asciiTheme="majorHAnsi" w:eastAsia="Times New Roman" w:hAnsiTheme="majorHAnsi" w:cs="Times New Roman"/>
      <w:szCs w:val="20"/>
      <w:lang w:val="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619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619C"/>
  </w:style>
  <w:style w:type="table" w:styleId="Grilledutableau">
    <w:name w:val="Table Grid"/>
    <w:basedOn w:val="TableauNormal"/>
    <w:uiPriority w:val="59"/>
    <w:rsid w:val="00C7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28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8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8B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162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620C"/>
  </w:style>
  <w:style w:type="paragraph" w:styleId="Pieddepage">
    <w:name w:val="footer"/>
    <w:basedOn w:val="Normal"/>
    <w:link w:val="PieddepageCar"/>
    <w:uiPriority w:val="99"/>
    <w:unhideWhenUsed/>
    <w:rsid w:val="00E162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620C"/>
  </w:style>
  <w:style w:type="character" w:styleId="Numrodepage">
    <w:name w:val="page number"/>
    <w:basedOn w:val="Policepardfaut"/>
    <w:uiPriority w:val="99"/>
    <w:semiHidden/>
    <w:unhideWhenUsed/>
    <w:rsid w:val="00E1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CE30C-B84C-49DB-88B5-7E4D8EF7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CHV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FULCRAND</dc:creator>
  <cp:keywords/>
  <dc:description/>
  <cp:lastModifiedBy>HENNION-COUSSEMACQ, Marion</cp:lastModifiedBy>
  <cp:revision>5</cp:revision>
  <dcterms:created xsi:type="dcterms:W3CDTF">2019-01-30T17:26:00Z</dcterms:created>
  <dcterms:modified xsi:type="dcterms:W3CDTF">2019-08-29T13:41:00Z</dcterms:modified>
</cp:coreProperties>
</file>