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AIPBL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23975" cy="8763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Intitulé du poste :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Trésorier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Rédigé par :  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Guillaume Wabont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 : 16/10/2018</w:t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prise de fonction a lieu en novembre lors du renouvellement du bureau à l’occasion de la soirée de changement de bureau. 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personne désignée pour le poste est élue pour une durée de </w:t>
      </w:r>
      <w:r w:rsidDel="00000000" w:rsidR="00000000" w:rsidRPr="00000000">
        <w:rPr>
          <w:b w:val="1"/>
          <w:rtl w:val="0"/>
        </w:rPr>
        <w:t xml:space="preserve">1 an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Compétences et qualités requises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Tout interne adhérent à l’AIPBL peut prétendre au poste de trésorier.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Qualités re</w:t>
      </w:r>
      <w:r w:rsidDel="00000000" w:rsidR="00000000" w:rsidRPr="00000000">
        <w:rPr>
          <w:rtl w:val="0"/>
        </w:rPr>
        <w:t xml:space="preserve">quises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aimer compter,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</w:t>
      </w:r>
      <w:r w:rsidDel="00000000" w:rsidR="00000000" w:rsidRPr="00000000">
        <w:rPr>
          <w:rtl w:val="0"/>
        </w:rPr>
        <w:t xml:space="preserve">é de travail en groupe,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disponibilité, motivation, rigueur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Mise à jour du fichier des adhérents à chaque nouvelle adhésion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8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Penser à transmettre aux VP de filière les nouveaux adhérents tout à long de l’année pour qu’ils les ajoutent à leurs listings adhérents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Mise à jour du bilan comptable (Excel modifiable en ligne enregistré sur le Drive) à chaque mouvement de trésorerie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Paiement des différentes dépenses (activités, denrées alimentaires, remboursements,  …)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Encaissement des différentes recettes (cotisations, partenariats, ...)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Réalisation avec le(s) VP(s) partenariats du planning prévisionnel des activités, avec prévision du budget prévisionnel annuel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Allouer un budget aux différentes activités et missions de l’association qui vont engendrer des coûts, et s’assurer que les budgets soient respectés.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Télécharger l’intégralité des relevés de compte à la fin du mandat, et les placer dans le Drive pour archive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106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