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EB" w:rsidRPr="00645049" w:rsidRDefault="001556EB" w:rsidP="0029612B">
      <w:pPr>
        <w:jc w:val="center"/>
        <w:rPr>
          <w:rFonts w:ascii="Arial" w:hAnsi="Arial" w:cs="Arial"/>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3pt;width:111.1pt;height:111.1pt;z-index:251658240">
            <v:imagedata r:id="rId5" o:title=""/>
            <w10:wrap type="square"/>
          </v:shape>
        </w:pict>
      </w:r>
      <w:r w:rsidRPr="00645049">
        <w:rPr>
          <w:rFonts w:ascii="Arial" w:hAnsi="Arial" w:cs="Arial"/>
          <w:b/>
          <w:sz w:val="32"/>
        </w:rPr>
        <w:t>Stage d’interne en biologie médicale</w:t>
      </w:r>
    </w:p>
    <w:p w:rsidR="001556EB" w:rsidRPr="00645049" w:rsidRDefault="001556EB" w:rsidP="00CA265C">
      <w:pPr>
        <w:jc w:val="center"/>
      </w:pPr>
    </w:p>
    <w:p w:rsidR="001556EB" w:rsidRPr="00645049" w:rsidRDefault="001556EB" w:rsidP="00D61950">
      <w:pPr>
        <w:autoSpaceDE w:val="0"/>
        <w:autoSpaceDN w:val="0"/>
        <w:adjustRightInd w:val="0"/>
        <w:jc w:val="both"/>
        <w:rPr>
          <w:rFonts w:ascii="Arial" w:hAnsi="Arial" w:cs="Arial"/>
          <w:b/>
          <w:bCs/>
          <w:sz w:val="22"/>
          <w:szCs w:val="22"/>
        </w:rPr>
      </w:pPr>
      <w:r w:rsidRPr="00645049">
        <w:rPr>
          <w:rFonts w:ascii="Arial" w:hAnsi="Arial" w:cs="Arial"/>
          <w:b/>
          <w:bCs/>
          <w:sz w:val="22"/>
          <w:szCs w:val="22"/>
        </w:rPr>
        <w:t>Intitulé :</w:t>
      </w:r>
    </w:p>
    <w:p w:rsidR="001556EB" w:rsidRPr="00645049" w:rsidRDefault="001556EB" w:rsidP="00D61950">
      <w:pPr>
        <w:autoSpaceDE w:val="0"/>
        <w:autoSpaceDN w:val="0"/>
        <w:adjustRightInd w:val="0"/>
        <w:jc w:val="both"/>
        <w:rPr>
          <w:rFonts w:ascii="Arial" w:hAnsi="Arial" w:cs="Arial"/>
          <w:bCs/>
          <w:sz w:val="22"/>
          <w:szCs w:val="22"/>
        </w:rPr>
      </w:pPr>
      <w:r w:rsidRPr="00645049">
        <w:rPr>
          <w:rFonts w:ascii="Arial" w:hAnsi="Arial" w:cs="Arial"/>
          <w:bCs/>
          <w:sz w:val="22"/>
          <w:szCs w:val="22"/>
        </w:rPr>
        <w:t xml:space="preserve">GHICL - LABORATOIRE ST PHILIBERT </w:t>
      </w:r>
    </w:p>
    <w:p w:rsidR="001556EB" w:rsidRPr="00645049" w:rsidRDefault="001556EB" w:rsidP="00D61950">
      <w:pPr>
        <w:autoSpaceDE w:val="0"/>
        <w:autoSpaceDN w:val="0"/>
        <w:adjustRightInd w:val="0"/>
        <w:jc w:val="both"/>
        <w:rPr>
          <w:rFonts w:ascii="Arial" w:hAnsi="Arial" w:cs="Arial"/>
          <w:b/>
          <w:bCs/>
          <w:sz w:val="22"/>
          <w:szCs w:val="22"/>
        </w:rPr>
      </w:pPr>
    </w:p>
    <w:p w:rsidR="001556EB" w:rsidRPr="00645049" w:rsidRDefault="001556EB" w:rsidP="00D61950">
      <w:pPr>
        <w:autoSpaceDE w:val="0"/>
        <w:autoSpaceDN w:val="0"/>
        <w:adjustRightInd w:val="0"/>
        <w:jc w:val="both"/>
        <w:rPr>
          <w:rFonts w:ascii="Arial" w:hAnsi="Arial" w:cs="Arial"/>
          <w:b/>
          <w:bCs/>
          <w:sz w:val="22"/>
          <w:szCs w:val="22"/>
        </w:rPr>
      </w:pPr>
      <w:r w:rsidRPr="00645049">
        <w:rPr>
          <w:rFonts w:ascii="Arial" w:hAnsi="Arial" w:cs="Arial"/>
          <w:b/>
          <w:bCs/>
          <w:sz w:val="22"/>
          <w:szCs w:val="22"/>
        </w:rPr>
        <w:t>Agrément :</w:t>
      </w:r>
    </w:p>
    <w:p w:rsidR="001556EB" w:rsidRPr="00645049" w:rsidRDefault="001556EB" w:rsidP="00D61950">
      <w:pPr>
        <w:autoSpaceDE w:val="0"/>
        <w:autoSpaceDN w:val="0"/>
        <w:adjustRightInd w:val="0"/>
        <w:jc w:val="both"/>
        <w:rPr>
          <w:rFonts w:ascii="Arial" w:hAnsi="Arial" w:cs="Arial"/>
          <w:sz w:val="22"/>
          <w:szCs w:val="22"/>
        </w:rPr>
      </w:pPr>
      <w:r w:rsidRPr="00645049">
        <w:rPr>
          <w:rFonts w:ascii="Arial" w:hAnsi="Arial" w:cs="Arial"/>
          <w:sz w:val="22"/>
          <w:szCs w:val="22"/>
        </w:rPr>
        <w:t>POLYVALENT – BACTERIO – HEMATO - BIOCHIMIE</w:t>
      </w:r>
    </w:p>
    <w:p w:rsidR="001556EB" w:rsidRPr="00645049" w:rsidRDefault="001556EB" w:rsidP="00D61950">
      <w:pPr>
        <w:autoSpaceDE w:val="0"/>
        <w:autoSpaceDN w:val="0"/>
        <w:adjustRightInd w:val="0"/>
        <w:jc w:val="both"/>
        <w:rPr>
          <w:rFonts w:ascii="Arial" w:hAnsi="Arial" w:cs="Arial"/>
          <w:b/>
          <w:sz w:val="22"/>
          <w:szCs w:val="22"/>
        </w:rPr>
      </w:pPr>
    </w:p>
    <w:p w:rsidR="001556EB" w:rsidRPr="00645049" w:rsidRDefault="001556EB" w:rsidP="00D61950">
      <w:pPr>
        <w:autoSpaceDE w:val="0"/>
        <w:autoSpaceDN w:val="0"/>
        <w:adjustRightInd w:val="0"/>
        <w:jc w:val="both"/>
        <w:rPr>
          <w:rFonts w:ascii="Arial" w:hAnsi="Arial" w:cs="Arial"/>
          <w:b/>
          <w:sz w:val="22"/>
          <w:szCs w:val="22"/>
        </w:rPr>
      </w:pPr>
    </w:p>
    <w:p w:rsidR="001556EB" w:rsidRPr="00645049" w:rsidRDefault="001556EB" w:rsidP="00D61950">
      <w:pPr>
        <w:autoSpaceDE w:val="0"/>
        <w:autoSpaceDN w:val="0"/>
        <w:adjustRightInd w:val="0"/>
        <w:jc w:val="both"/>
        <w:rPr>
          <w:rFonts w:ascii="Arial" w:hAnsi="Arial" w:cs="Arial"/>
          <w:b/>
          <w:sz w:val="22"/>
          <w:szCs w:val="22"/>
        </w:rPr>
      </w:pPr>
      <w:r w:rsidRPr="00645049">
        <w:rPr>
          <w:rFonts w:ascii="Arial" w:hAnsi="Arial" w:cs="Arial"/>
          <w:b/>
          <w:sz w:val="22"/>
          <w:szCs w:val="22"/>
        </w:rPr>
        <w:t>Localisation du laboratoire :</w:t>
      </w:r>
    </w:p>
    <w:p w:rsidR="001556EB" w:rsidRPr="00645049" w:rsidRDefault="001556EB" w:rsidP="00D61950">
      <w:pPr>
        <w:autoSpaceDE w:val="0"/>
        <w:autoSpaceDN w:val="0"/>
        <w:adjustRightInd w:val="0"/>
        <w:jc w:val="both"/>
        <w:rPr>
          <w:rFonts w:ascii="Arial" w:hAnsi="Arial" w:cs="Arial"/>
          <w:b/>
          <w:sz w:val="22"/>
          <w:szCs w:val="22"/>
        </w:rPr>
      </w:pPr>
      <w:r w:rsidRPr="00645049">
        <w:rPr>
          <w:rFonts w:ascii="Arial" w:hAnsi="Arial" w:cs="Arial"/>
          <w:sz w:val="22"/>
          <w:szCs w:val="22"/>
        </w:rPr>
        <w:t>CH ST PHILIBERT - 115 RUE DU GRAND BUT – 59462 LOMME</w:t>
      </w:r>
    </w:p>
    <w:p w:rsidR="001556EB" w:rsidRPr="00645049" w:rsidRDefault="001556EB" w:rsidP="00D61950">
      <w:pPr>
        <w:autoSpaceDE w:val="0"/>
        <w:autoSpaceDN w:val="0"/>
        <w:adjustRightInd w:val="0"/>
        <w:jc w:val="both"/>
        <w:rPr>
          <w:rFonts w:ascii="Arial" w:hAnsi="Arial" w:cs="Arial"/>
          <w:b/>
          <w:sz w:val="22"/>
          <w:szCs w:val="22"/>
        </w:rPr>
      </w:pPr>
    </w:p>
    <w:p w:rsidR="001556EB" w:rsidRPr="00645049" w:rsidRDefault="001556EB" w:rsidP="00D61950">
      <w:pPr>
        <w:autoSpaceDE w:val="0"/>
        <w:autoSpaceDN w:val="0"/>
        <w:adjustRightInd w:val="0"/>
        <w:jc w:val="both"/>
        <w:rPr>
          <w:rFonts w:ascii="Arial" w:hAnsi="Arial" w:cs="Arial"/>
          <w:b/>
          <w:sz w:val="22"/>
          <w:szCs w:val="22"/>
        </w:rPr>
      </w:pPr>
    </w:p>
    <w:p w:rsidR="001556EB" w:rsidRPr="00645049" w:rsidRDefault="001556EB" w:rsidP="00D61950">
      <w:pPr>
        <w:autoSpaceDE w:val="0"/>
        <w:autoSpaceDN w:val="0"/>
        <w:adjustRightInd w:val="0"/>
        <w:jc w:val="both"/>
        <w:rPr>
          <w:rFonts w:ascii="Arial" w:hAnsi="Arial" w:cs="Arial"/>
          <w:b/>
          <w:sz w:val="22"/>
          <w:szCs w:val="22"/>
        </w:rPr>
      </w:pPr>
      <w:r w:rsidRPr="00645049">
        <w:rPr>
          <w:rFonts w:ascii="Arial" w:hAnsi="Arial" w:cs="Arial"/>
          <w:b/>
          <w:sz w:val="22"/>
          <w:szCs w:val="22"/>
        </w:rPr>
        <w:t>Présentation de l’hôpital, du laboratoire et de l’équipe :</w:t>
      </w:r>
    </w:p>
    <w:p w:rsidR="001556EB" w:rsidRPr="00645049" w:rsidRDefault="001556EB" w:rsidP="0025606D">
      <w:pPr>
        <w:rPr>
          <w:rFonts w:ascii="Arial" w:hAnsi="Arial" w:cs="Arial"/>
          <w:sz w:val="22"/>
          <w:szCs w:val="22"/>
        </w:rPr>
      </w:pPr>
      <w:r w:rsidRPr="00645049">
        <w:rPr>
          <w:rFonts w:ascii="Arial" w:hAnsi="Arial" w:cs="Arial"/>
          <w:sz w:val="22"/>
          <w:szCs w:val="22"/>
        </w:rPr>
        <w:t>Le pôle de biopathologie du GHICL regroupe les laboratoires du CH St Philibert à Lomme (site central) et du CH St Vincent à Lille (laboratoire d’urgence, cytogénétique, anatomopathologie).</w:t>
      </w:r>
    </w:p>
    <w:p w:rsidR="001556EB" w:rsidRPr="00645049" w:rsidRDefault="001556EB" w:rsidP="0025606D">
      <w:pPr>
        <w:rPr>
          <w:rFonts w:ascii="Arial" w:hAnsi="Arial" w:cs="Arial"/>
          <w:sz w:val="22"/>
          <w:szCs w:val="22"/>
        </w:rPr>
      </w:pPr>
      <w:r w:rsidRPr="00645049">
        <w:rPr>
          <w:rFonts w:ascii="Arial" w:hAnsi="Arial" w:cs="Arial"/>
          <w:sz w:val="22"/>
          <w:szCs w:val="22"/>
        </w:rPr>
        <w:t>Sur le site du CH St Philibert, des internes sont accueillis dans les laboratoires suivants :</w:t>
      </w:r>
    </w:p>
    <w:p w:rsidR="001556EB" w:rsidRPr="00645049" w:rsidRDefault="001556EB" w:rsidP="0025606D">
      <w:pPr>
        <w:numPr>
          <w:ilvl w:val="0"/>
          <w:numId w:val="1"/>
        </w:numPr>
        <w:tabs>
          <w:tab w:val="clear" w:pos="720"/>
          <w:tab w:val="num" w:pos="1428"/>
        </w:tabs>
        <w:ind w:left="1428"/>
        <w:rPr>
          <w:rFonts w:ascii="Arial" w:hAnsi="Arial" w:cs="Arial"/>
          <w:sz w:val="22"/>
          <w:szCs w:val="22"/>
        </w:rPr>
      </w:pPr>
      <w:r w:rsidRPr="00645049">
        <w:rPr>
          <w:rFonts w:ascii="Arial" w:hAnsi="Arial" w:cs="Arial"/>
          <w:sz w:val="22"/>
          <w:szCs w:val="22"/>
        </w:rPr>
        <w:t xml:space="preserve">Biochimie (gaz du sang, hormonologie, enzymologie, vitaminologie, toxicologie, etc…) </w:t>
      </w:r>
    </w:p>
    <w:p w:rsidR="001556EB" w:rsidRPr="00645049" w:rsidRDefault="001556EB" w:rsidP="0025606D">
      <w:pPr>
        <w:numPr>
          <w:ilvl w:val="0"/>
          <w:numId w:val="1"/>
        </w:numPr>
        <w:tabs>
          <w:tab w:val="clear" w:pos="720"/>
          <w:tab w:val="num" w:pos="1428"/>
        </w:tabs>
        <w:ind w:left="1428"/>
        <w:rPr>
          <w:rFonts w:ascii="Arial" w:hAnsi="Arial" w:cs="Arial"/>
          <w:sz w:val="22"/>
          <w:szCs w:val="22"/>
        </w:rPr>
      </w:pPr>
      <w:r w:rsidRPr="00645049">
        <w:rPr>
          <w:rFonts w:ascii="Arial" w:hAnsi="Arial" w:cs="Arial"/>
          <w:sz w:val="22"/>
          <w:szCs w:val="22"/>
        </w:rPr>
        <w:t>Microbiologie (bactériologie, virologie, parasitologie, mycologie, biologie moléculaire, sérologie)</w:t>
      </w:r>
    </w:p>
    <w:p w:rsidR="001556EB" w:rsidRPr="00645049" w:rsidRDefault="001556EB" w:rsidP="0025606D">
      <w:pPr>
        <w:numPr>
          <w:ilvl w:val="0"/>
          <w:numId w:val="1"/>
        </w:numPr>
        <w:tabs>
          <w:tab w:val="clear" w:pos="720"/>
          <w:tab w:val="num" w:pos="1428"/>
        </w:tabs>
        <w:ind w:left="1428"/>
        <w:rPr>
          <w:rFonts w:ascii="Arial" w:hAnsi="Arial" w:cs="Arial"/>
          <w:sz w:val="22"/>
          <w:szCs w:val="22"/>
        </w:rPr>
      </w:pPr>
      <w:r w:rsidRPr="00645049">
        <w:rPr>
          <w:rFonts w:ascii="Arial" w:hAnsi="Arial" w:cs="Arial"/>
          <w:sz w:val="22"/>
          <w:szCs w:val="22"/>
        </w:rPr>
        <w:t>Hématologie (hématologie cellulaire, cytométrie de flux, hémostase et coagulation, immuno-hématologie)</w:t>
      </w:r>
    </w:p>
    <w:p w:rsidR="001556EB" w:rsidRPr="00645049" w:rsidRDefault="001556EB" w:rsidP="0025606D">
      <w:pPr>
        <w:ind w:left="1068"/>
        <w:rPr>
          <w:rFonts w:ascii="Arial" w:hAnsi="Arial" w:cs="Arial"/>
          <w:sz w:val="22"/>
          <w:szCs w:val="22"/>
        </w:rPr>
      </w:pPr>
    </w:p>
    <w:p w:rsidR="001556EB" w:rsidRPr="00645049" w:rsidRDefault="001556EB" w:rsidP="0025606D">
      <w:pPr>
        <w:rPr>
          <w:rFonts w:ascii="Arial" w:hAnsi="Arial" w:cs="Arial"/>
          <w:sz w:val="22"/>
          <w:szCs w:val="22"/>
        </w:rPr>
      </w:pPr>
      <w:r w:rsidRPr="00645049">
        <w:rPr>
          <w:rFonts w:ascii="Arial" w:hAnsi="Arial" w:cs="Arial"/>
          <w:sz w:val="22"/>
          <w:szCs w:val="22"/>
        </w:rPr>
        <w:t xml:space="preserve">Le service de biochimie est encadré par trois biologistes séniors : Pr </w:t>
      </w:r>
      <w:smartTag w:uri="urn:schemas-microsoft-com:office:smarttags" w:element="PersonName">
        <w:smartTagPr>
          <w:attr w:name="ProductID" w:val="Gérard Forzy"/>
        </w:smartTagPr>
        <w:r w:rsidRPr="00645049">
          <w:rPr>
            <w:rFonts w:ascii="Arial" w:hAnsi="Arial" w:cs="Arial"/>
            <w:sz w:val="22"/>
            <w:szCs w:val="22"/>
          </w:rPr>
          <w:t>Gérard Forzy</w:t>
        </w:r>
      </w:smartTag>
      <w:r w:rsidRPr="00645049">
        <w:rPr>
          <w:rFonts w:ascii="Arial" w:hAnsi="Arial" w:cs="Arial"/>
          <w:sz w:val="22"/>
          <w:szCs w:val="22"/>
        </w:rPr>
        <w:t>, Dr Vincent Chieux, Dr Benjamin Decknuydt</w:t>
      </w:r>
    </w:p>
    <w:p w:rsidR="001556EB" w:rsidRPr="00645049" w:rsidRDefault="001556EB" w:rsidP="0025606D">
      <w:pPr>
        <w:rPr>
          <w:rFonts w:ascii="Arial" w:hAnsi="Arial" w:cs="Arial"/>
          <w:sz w:val="22"/>
          <w:szCs w:val="22"/>
        </w:rPr>
      </w:pPr>
      <w:r w:rsidRPr="00645049">
        <w:rPr>
          <w:rFonts w:ascii="Arial" w:hAnsi="Arial" w:cs="Arial"/>
          <w:sz w:val="22"/>
          <w:szCs w:val="22"/>
        </w:rPr>
        <w:t xml:space="preserve">Le service d’hématlogie et d’immunohématologie est encadré par trois biologistes séniors : Pr Agnès Charpentier, Dr Judith Bruge-Debreu, Dr </w:t>
      </w:r>
      <w:smartTag w:uri="urn:schemas-microsoft-com:office:smarttags" w:element="PersonName">
        <w:smartTagPr>
          <w:attr w:name="ProductID" w:val="Catherine Lafon"/>
        </w:smartTagPr>
        <w:r w:rsidRPr="00645049">
          <w:rPr>
            <w:rFonts w:ascii="Arial" w:hAnsi="Arial" w:cs="Arial"/>
            <w:sz w:val="22"/>
            <w:szCs w:val="22"/>
          </w:rPr>
          <w:t>Catherine Lafon</w:t>
        </w:r>
      </w:smartTag>
    </w:p>
    <w:p w:rsidR="001556EB" w:rsidRPr="00645049" w:rsidRDefault="001556EB" w:rsidP="0025606D">
      <w:pPr>
        <w:rPr>
          <w:rFonts w:ascii="Arial" w:hAnsi="Arial" w:cs="Arial"/>
          <w:sz w:val="22"/>
          <w:szCs w:val="22"/>
        </w:rPr>
      </w:pPr>
      <w:r w:rsidRPr="00645049">
        <w:rPr>
          <w:rFonts w:ascii="Arial" w:hAnsi="Arial" w:cs="Arial"/>
          <w:sz w:val="22"/>
          <w:szCs w:val="22"/>
        </w:rPr>
        <w:t xml:space="preserve">Le service de microbiologie est encadré par trois biologistes médicaux séniors (Pr </w:t>
      </w:r>
      <w:smartTag w:uri="urn:schemas-microsoft-com:office:smarttags" w:element="PersonName">
        <w:smartTagPr>
          <w:attr w:name="ProductID" w:val="Anne Decoster"/>
        </w:smartTagPr>
        <w:r w:rsidRPr="00645049">
          <w:rPr>
            <w:rFonts w:ascii="Arial" w:hAnsi="Arial" w:cs="Arial"/>
            <w:sz w:val="22"/>
            <w:szCs w:val="22"/>
          </w:rPr>
          <w:t>Anne Decoster</w:t>
        </w:r>
      </w:smartTag>
      <w:r w:rsidRPr="00645049">
        <w:rPr>
          <w:rFonts w:ascii="Arial" w:hAnsi="Arial" w:cs="Arial"/>
          <w:sz w:val="22"/>
          <w:szCs w:val="22"/>
        </w:rPr>
        <w:t>, Dr Eric Dehecq, Dr Anne-France Georgel).</w:t>
      </w:r>
    </w:p>
    <w:p w:rsidR="001556EB" w:rsidRPr="00645049" w:rsidRDefault="001556EB" w:rsidP="0025606D">
      <w:pPr>
        <w:spacing w:before="240"/>
        <w:ind w:firstLine="708"/>
        <w:jc w:val="both"/>
        <w:outlineLvl w:val="0"/>
        <w:rPr>
          <w:rFonts w:ascii="Arial" w:hAnsi="Arial" w:cs="Arial"/>
          <w:sz w:val="22"/>
          <w:szCs w:val="22"/>
        </w:rPr>
      </w:pPr>
      <w:r w:rsidRPr="00645049">
        <w:rPr>
          <w:rFonts w:ascii="Arial" w:hAnsi="Arial" w:cs="Arial"/>
          <w:sz w:val="22"/>
          <w:szCs w:val="22"/>
        </w:rPr>
        <w:t>Le laboratoire assure les analyses pour les différents services des hôpitaux St Philibert et St Vincent de Paul (environ 750 lits) : pédiatrie (médecine et chirurgie, néonatalogie, soins intensifs, urgences, consultations), maternité et gynéco-obstétrique, chirurgie (traumatologie, vasculaire, viscérale, digestive, urologique, ophtalmologique, ORL et stomatologique), médecine spécialisée (neurologie, dermatologie, psychiatrie, endocrino-diabétologie, rhumatologie, gériatrie, cardiologie et soins intensifs cardiologiques, pneumologie, médecine polyvalente, soins de suite, onco-hématologie), réanimation polyvalente.</w:t>
      </w:r>
    </w:p>
    <w:p w:rsidR="001556EB" w:rsidRPr="00645049" w:rsidRDefault="001556EB" w:rsidP="0025606D">
      <w:pPr>
        <w:spacing w:before="240"/>
        <w:ind w:firstLine="708"/>
        <w:jc w:val="both"/>
        <w:outlineLvl w:val="0"/>
        <w:rPr>
          <w:rFonts w:ascii="Arial" w:hAnsi="Arial" w:cs="Arial"/>
          <w:sz w:val="22"/>
          <w:szCs w:val="22"/>
        </w:rPr>
      </w:pPr>
      <w:r w:rsidRPr="00645049">
        <w:rPr>
          <w:rFonts w:ascii="Arial" w:hAnsi="Arial" w:cs="Arial"/>
          <w:sz w:val="22"/>
          <w:szCs w:val="22"/>
        </w:rPr>
        <w:t>Il assure également les analyses de plusieurs autres établissements sanitaires et médico-sociaux : centre Hélène Borel, EHPAD Accueil, EHPAD St François de Sales, MAPAD Marguerite Yourcenar.</w:t>
      </w:r>
    </w:p>
    <w:p w:rsidR="001556EB" w:rsidRPr="00645049" w:rsidRDefault="001556EB" w:rsidP="0025606D">
      <w:pPr>
        <w:autoSpaceDE w:val="0"/>
        <w:autoSpaceDN w:val="0"/>
        <w:adjustRightInd w:val="0"/>
        <w:jc w:val="both"/>
        <w:rPr>
          <w:rFonts w:ascii="Arial" w:hAnsi="Arial" w:cs="Arial"/>
          <w:b/>
          <w:i/>
          <w:iCs/>
          <w:sz w:val="22"/>
          <w:szCs w:val="22"/>
        </w:rPr>
      </w:pPr>
    </w:p>
    <w:p w:rsidR="001556EB" w:rsidRPr="00645049" w:rsidRDefault="001556EB" w:rsidP="0025606D">
      <w:pPr>
        <w:autoSpaceDE w:val="0"/>
        <w:autoSpaceDN w:val="0"/>
        <w:adjustRightInd w:val="0"/>
        <w:jc w:val="both"/>
        <w:rPr>
          <w:rFonts w:ascii="Arial" w:hAnsi="Arial" w:cs="Arial"/>
          <w:b/>
          <w:i/>
          <w:iCs/>
          <w:sz w:val="22"/>
          <w:szCs w:val="22"/>
        </w:rPr>
      </w:pPr>
    </w:p>
    <w:p w:rsidR="001556EB" w:rsidRPr="00645049" w:rsidRDefault="001556EB" w:rsidP="0025606D">
      <w:pPr>
        <w:autoSpaceDE w:val="0"/>
        <w:autoSpaceDN w:val="0"/>
        <w:adjustRightInd w:val="0"/>
        <w:jc w:val="both"/>
        <w:rPr>
          <w:rFonts w:ascii="Arial" w:hAnsi="Arial" w:cs="Arial"/>
          <w:b/>
          <w:bCs/>
          <w:sz w:val="22"/>
          <w:szCs w:val="22"/>
        </w:rPr>
      </w:pPr>
      <w:r w:rsidRPr="00645049">
        <w:rPr>
          <w:rFonts w:ascii="Arial" w:hAnsi="Arial" w:cs="Arial"/>
          <w:b/>
          <w:bCs/>
          <w:sz w:val="22"/>
          <w:szCs w:val="22"/>
        </w:rPr>
        <w:t>Organisation du laboratoire (horaires, participation aux gardes et astreintes) et activités (routine du laboratoire, projets en cours) :</w:t>
      </w:r>
    </w:p>
    <w:p w:rsidR="001556EB" w:rsidRPr="00645049" w:rsidRDefault="001556EB" w:rsidP="0025606D">
      <w:pPr>
        <w:autoSpaceDE w:val="0"/>
        <w:autoSpaceDN w:val="0"/>
        <w:adjustRightInd w:val="0"/>
        <w:jc w:val="both"/>
        <w:rPr>
          <w:rFonts w:ascii="Arial" w:hAnsi="Arial" w:cs="Arial"/>
          <w:sz w:val="22"/>
          <w:szCs w:val="22"/>
        </w:rPr>
      </w:pPr>
    </w:p>
    <w:p w:rsidR="001556EB" w:rsidRPr="00645049" w:rsidRDefault="001556EB" w:rsidP="0025606D">
      <w:pPr>
        <w:autoSpaceDE w:val="0"/>
        <w:autoSpaceDN w:val="0"/>
        <w:adjustRightInd w:val="0"/>
        <w:jc w:val="both"/>
        <w:rPr>
          <w:rFonts w:ascii="Arial" w:hAnsi="Arial" w:cs="Arial"/>
          <w:sz w:val="22"/>
          <w:szCs w:val="22"/>
        </w:rPr>
      </w:pPr>
      <w:r w:rsidRPr="00645049">
        <w:rPr>
          <w:rFonts w:ascii="Arial" w:hAnsi="Arial" w:cs="Arial"/>
          <w:sz w:val="22"/>
          <w:szCs w:val="22"/>
        </w:rPr>
        <w:t>Le laboratoire fonctionne 24h/24.</w:t>
      </w:r>
    </w:p>
    <w:p w:rsidR="001556EB" w:rsidRPr="00645049" w:rsidRDefault="001556EB" w:rsidP="0025606D">
      <w:pPr>
        <w:autoSpaceDE w:val="0"/>
        <w:autoSpaceDN w:val="0"/>
        <w:adjustRightInd w:val="0"/>
        <w:jc w:val="both"/>
        <w:rPr>
          <w:rFonts w:ascii="Arial" w:hAnsi="Arial" w:cs="Arial"/>
          <w:sz w:val="22"/>
          <w:szCs w:val="22"/>
        </w:rPr>
      </w:pPr>
      <w:r w:rsidRPr="00645049">
        <w:rPr>
          <w:rFonts w:ascii="Arial" w:hAnsi="Arial" w:cs="Arial"/>
          <w:sz w:val="22"/>
          <w:szCs w:val="22"/>
        </w:rPr>
        <w:t>La journée-type de l’interne débute à 9h et se termine à 17h (coupure d’une heure le midi) du lundi matin au vendredi soir.</w:t>
      </w:r>
    </w:p>
    <w:p w:rsidR="001556EB" w:rsidRPr="00645049" w:rsidRDefault="001556EB" w:rsidP="0025606D">
      <w:pPr>
        <w:autoSpaceDE w:val="0"/>
        <w:autoSpaceDN w:val="0"/>
        <w:adjustRightInd w:val="0"/>
        <w:jc w:val="both"/>
        <w:rPr>
          <w:rFonts w:ascii="Arial" w:hAnsi="Arial" w:cs="Arial"/>
          <w:sz w:val="22"/>
          <w:szCs w:val="22"/>
        </w:rPr>
      </w:pPr>
      <w:r w:rsidRPr="00645049">
        <w:rPr>
          <w:rFonts w:ascii="Arial" w:hAnsi="Arial" w:cs="Arial"/>
          <w:sz w:val="22"/>
          <w:szCs w:val="22"/>
        </w:rPr>
        <w:t>Les internes assurent à tour de rôle une garde le samedi après-midi de 13 à 21h, qu’ils réalisent en compagnie d’un technicien sous la responsabilité d’un sénior (les astreintes nuit et WE/fériés sont assurées par un biologiste sénior).</w:t>
      </w:r>
    </w:p>
    <w:p w:rsidR="001556EB" w:rsidRPr="00645049" w:rsidRDefault="001556EB" w:rsidP="0025606D">
      <w:pPr>
        <w:rPr>
          <w:rFonts w:ascii="Arial" w:hAnsi="Arial" w:cs="Arial"/>
          <w:sz w:val="22"/>
          <w:szCs w:val="22"/>
        </w:rPr>
      </w:pPr>
      <w:r w:rsidRPr="00645049">
        <w:rPr>
          <w:rFonts w:ascii="Arial" w:hAnsi="Arial" w:cs="Arial"/>
          <w:sz w:val="22"/>
          <w:szCs w:val="22"/>
        </w:rPr>
        <w:t>Le laboratoire est accrédité par le COFRAC (accréditation n° 8-3798 du 2/6/2016).</w:t>
      </w:r>
    </w:p>
    <w:p w:rsidR="001556EB" w:rsidRPr="00645049" w:rsidRDefault="001556EB" w:rsidP="0025606D">
      <w:pPr>
        <w:rPr>
          <w:rFonts w:ascii="Arial" w:hAnsi="Arial" w:cs="Arial"/>
          <w:sz w:val="22"/>
          <w:szCs w:val="22"/>
        </w:rPr>
      </w:pPr>
      <w:r w:rsidRPr="00645049">
        <w:rPr>
          <w:rFonts w:ascii="Arial" w:hAnsi="Arial" w:cs="Arial"/>
          <w:sz w:val="22"/>
          <w:szCs w:val="22"/>
        </w:rPr>
        <w:t>Il réalise des analyses de routine et des analyses plus spécialisées dans les services et secteurs suivants :</w:t>
      </w:r>
    </w:p>
    <w:p w:rsidR="001556EB" w:rsidRPr="00645049" w:rsidRDefault="001556EB" w:rsidP="0025606D">
      <w:pPr>
        <w:numPr>
          <w:ilvl w:val="0"/>
          <w:numId w:val="1"/>
        </w:numPr>
        <w:tabs>
          <w:tab w:val="clear" w:pos="720"/>
          <w:tab w:val="num" w:pos="1428"/>
        </w:tabs>
        <w:ind w:left="1428"/>
        <w:rPr>
          <w:rFonts w:ascii="Arial" w:hAnsi="Arial" w:cs="Arial"/>
          <w:sz w:val="22"/>
          <w:szCs w:val="22"/>
        </w:rPr>
      </w:pPr>
      <w:r w:rsidRPr="00645049">
        <w:rPr>
          <w:rFonts w:ascii="Arial" w:hAnsi="Arial" w:cs="Arial"/>
          <w:sz w:val="22"/>
          <w:szCs w:val="22"/>
        </w:rPr>
        <w:t>Biochimie : gaz du sang, hormonologie, enzymologie, vitaminologie, toxicologie, etc…</w:t>
      </w:r>
    </w:p>
    <w:p w:rsidR="001556EB" w:rsidRPr="00645049" w:rsidRDefault="001556EB" w:rsidP="0025606D">
      <w:pPr>
        <w:numPr>
          <w:ilvl w:val="0"/>
          <w:numId w:val="1"/>
        </w:numPr>
        <w:tabs>
          <w:tab w:val="clear" w:pos="720"/>
          <w:tab w:val="num" w:pos="1428"/>
        </w:tabs>
        <w:ind w:left="1428"/>
        <w:rPr>
          <w:rFonts w:ascii="Arial" w:hAnsi="Arial" w:cs="Arial"/>
          <w:sz w:val="22"/>
          <w:szCs w:val="22"/>
        </w:rPr>
      </w:pPr>
      <w:r w:rsidRPr="00645049">
        <w:rPr>
          <w:rFonts w:ascii="Arial" w:hAnsi="Arial" w:cs="Arial"/>
          <w:sz w:val="22"/>
          <w:szCs w:val="22"/>
        </w:rPr>
        <w:t>Microbiologie : bactériologie, virologie, parasitologie, mycologie, biologie moléculaire, sérologie</w:t>
      </w:r>
    </w:p>
    <w:p w:rsidR="001556EB" w:rsidRPr="00645049" w:rsidRDefault="001556EB" w:rsidP="0025606D">
      <w:pPr>
        <w:numPr>
          <w:ilvl w:val="0"/>
          <w:numId w:val="1"/>
        </w:numPr>
        <w:tabs>
          <w:tab w:val="clear" w:pos="720"/>
          <w:tab w:val="num" w:pos="1428"/>
        </w:tabs>
        <w:ind w:left="1428"/>
        <w:rPr>
          <w:rFonts w:ascii="Arial" w:hAnsi="Arial" w:cs="Arial"/>
          <w:sz w:val="22"/>
          <w:szCs w:val="22"/>
        </w:rPr>
      </w:pPr>
      <w:r w:rsidRPr="00645049">
        <w:rPr>
          <w:rFonts w:ascii="Arial" w:hAnsi="Arial" w:cs="Arial"/>
          <w:sz w:val="22"/>
          <w:szCs w:val="22"/>
        </w:rPr>
        <w:t>Hématologie : hématologie cellulaire, cytométrie de flux, hémostase et coagulation, immuno-hématologie</w:t>
      </w:r>
    </w:p>
    <w:p w:rsidR="001556EB" w:rsidRPr="00645049" w:rsidRDefault="001556EB" w:rsidP="0025606D">
      <w:pPr>
        <w:rPr>
          <w:rFonts w:ascii="Arial" w:hAnsi="Arial" w:cs="Arial"/>
          <w:sz w:val="22"/>
          <w:szCs w:val="22"/>
        </w:rPr>
      </w:pPr>
      <w:r w:rsidRPr="00645049">
        <w:rPr>
          <w:rFonts w:ascii="Arial" w:hAnsi="Arial" w:cs="Arial"/>
          <w:sz w:val="22"/>
          <w:szCs w:val="22"/>
        </w:rPr>
        <w:t>Les projets sont indiqués dans les paragraphes suivants.</w:t>
      </w:r>
    </w:p>
    <w:p w:rsidR="001556EB" w:rsidRPr="00645049" w:rsidRDefault="001556EB" w:rsidP="00D61950">
      <w:pPr>
        <w:jc w:val="both"/>
        <w:rPr>
          <w:rFonts w:ascii="Arial" w:hAnsi="Arial" w:cs="Arial"/>
          <w:sz w:val="22"/>
          <w:szCs w:val="22"/>
        </w:rPr>
      </w:pPr>
    </w:p>
    <w:p w:rsidR="001556EB" w:rsidRPr="00645049" w:rsidRDefault="001556EB" w:rsidP="00D61950">
      <w:pPr>
        <w:jc w:val="both"/>
        <w:rPr>
          <w:rFonts w:ascii="Arial" w:hAnsi="Arial" w:cs="Arial"/>
          <w:b/>
          <w:bCs/>
          <w:sz w:val="22"/>
          <w:szCs w:val="22"/>
        </w:rPr>
      </w:pPr>
    </w:p>
    <w:p w:rsidR="001556EB" w:rsidRPr="00645049" w:rsidRDefault="001556EB" w:rsidP="00D61950">
      <w:pPr>
        <w:jc w:val="both"/>
        <w:rPr>
          <w:rFonts w:ascii="Arial" w:hAnsi="Arial" w:cs="Arial"/>
          <w:b/>
          <w:bCs/>
          <w:sz w:val="22"/>
          <w:szCs w:val="22"/>
        </w:rPr>
      </w:pPr>
      <w:r w:rsidRPr="00645049">
        <w:rPr>
          <w:rFonts w:ascii="Arial" w:hAnsi="Arial" w:cs="Arial"/>
          <w:b/>
          <w:bCs/>
          <w:sz w:val="22"/>
          <w:szCs w:val="22"/>
        </w:rPr>
        <w:t xml:space="preserve">Equipements (automates &amp; logiciels) : </w:t>
      </w:r>
    </w:p>
    <w:p w:rsidR="001556EB" w:rsidRPr="00645049" w:rsidRDefault="001556EB" w:rsidP="0025606D">
      <w:pPr>
        <w:spacing w:before="240"/>
        <w:jc w:val="both"/>
        <w:outlineLvl w:val="0"/>
        <w:rPr>
          <w:rFonts w:ascii="Arial" w:hAnsi="Arial" w:cs="Arial"/>
          <w:sz w:val="22"/>
          <w:szCs w:val="22"/>
        </w:rPr>
      </w:pPr>
      <w:r w:rsidRPr="00645049">
        <w:rPr>
          <w:rFonts w:ascii="Arial" w:hAnsi="Arial" w:cs="Arial"/>
          <w:sz w:val="22"/>
          <w:szCs w:val="22"/>
        </w:rPr>
        <w:t>Les internes disposent d’un bureau doté d’un PC et d’un accès internet et disposent d’un libre accès à la bibliothèque du service où ils peuvent consulter sur place des ouvrages de référence dans chaque discipline</w:t>
      </w:r>
    </w:p>
    <w:p w:rsidR="001556EB" w:rsidRPr="00645049" w:rsidRDefault="001556EB" w:rsidP="0025606D">
      <w:pPr>
        <w:jc w:val="both"/>
        <w:rPr>
          <w:rFonts w:ascii="Arial" w:hAnsi="Arial" w:cs="Arial"/>
          <w:sz w:val="22"/>
          <w:szCs w:val="22"/>
        </w:rPr>
      </w:pPr>
    </w:p>
    <w:p w:rsidR="001556EB" w:rsidRPr="00645049" w:rsidRDefault="001556EB" w:rsidP="0025606D">
      <w:pPr>
        <w:jc w:val="both"/>
        <w:rPr>
          <w:rFonts w:ascii="Arial" w:hAnsi="Arial" w:cs="Arial"/>
          <w:sz w:val="22"/>
          <w:szCs w:val="22"/>
        </w:rPr>
      </w:pPr>
      <w:r w:rsidRPr="00645049">
        <w:rPr>
          <w:rFonts w:ascii="Arial" w:hAnsi="Arial" w:cs="Arial"/>
          <w:sz w:val="22"/>
          <w:szCs w:val="22"/>
        </w:rPr>
        <w:t>Le laboratoire est équipé du SIL Biowin et de son middleware Biomanager.</w:t>
      </w:r>
    </w:p>
    <w:p w:rsidR="001556EB" w:rsidRPr="00645049" w:rsidRDefault="001556EB" w:rsidP="0025606D">
      <w:pPr>
        <w:jc w:val="both"/>
        <w:rPr>
          <w:rFonts w:ascii="Arial" w:hAnsi="Arial" w:cs="Arial"/>
          <w:sz w:val="22"/>
          <w:szCs w:val="22"/>
        </w:rPr>
      </w:pPr>
      <w:r w:rsidRPr="00645049">
        <w:rPr>
          <w:rFonts w:ascii="Arial" w:hAnsi="Arial" w:cs="Arial"/>
          <w:sz w:val="22"/>
          <w:szCs w:val="22"/>
        </w:rPr>
        <w:t xml:space="preserve">Les équipements sont indiqués dans le paragraphe suivant. </w:t>
      </w:r>
    </w:p>
    <w:p w:rsidR="001556EB" w:rsidRPr="00645049" w:rsidRDefault="001556EB" w:rsidP="00D61950">
      <w:pPr>
        <w:jc w:val="both"/>
        <w:rPr>
          <w:rFonts w:ascii="Arial" w:hAnsi="Arial" w:cs="Arial"/>
          <w:sz w:val="22"/>
          <w:szCs w:val="22"/>
        </w:rPr>
      </w:pPr>
    </w:p>
    <w:p w:rsidR="001556EB" w:rsidRPr="00645049" w:rsidRDefault="001556EB" w:rsidP="00D61950">
      <w:pPr>
        <w:autoSpaceDE w:val="0"/>
        <w:autoSpaceDN w:val="0"/>
        <w:adjustRightInd w:val="0"/>
        <w:jc w:val="both"/>
        <w:rPr>
          <w:rFonts w:ascii="Arial" w:hAnsi="Arial" w:cs="Arial"/>
          <w:b/>
          <w:bCs/>
          <w:sz w:val="22"/>
          <w:szCs w:val="22"/>
        </w:rPr>
      </w:pPr>
    </w:p>
    <w:p w:rsidR="001556EB" w:rsidRPr="00645049" w:rsidRDefault="001556EB" w:rsidP="00D61950">
      <w:pPr>
        <w:autoSpaceDE w:val="0"/>
        <w:autoSpaceDN w:val="0"/>
        <w:adjustRightInd w:val="0"/>
        <w:jc w:val="both"/>
        <w:rPr>
          <w:rFonts w:ascii="Arial" w:hAnsi="Arial" w:cs="Arial"/>
          <w:b/>
          <w:bCs/>
          <w:sz w:val="22"/>
          <w:szCs w:val="22"/>
        </w:rPr>
      </w:pPr>
      <w:r w:rsidRPr="00645049">
        <w:rPr>
          <w:rFonts w:ascii="Arial" w:hAnsi="Arial" w:cs="Arial"/>
          <w:b/>
          <w:bCs/>
          <w:sz w:val="22"/>
          <w:szCs w:val="22"/>
        </w:rPr>
        <w:t>Activités de l’interne durant le semestre :</w:t>
      </w:r>
    </w:p>
    <w:p w:rsidR="001556EB" w:rsidRPr="00645049" w:rsidRDefault="001556EB" w:rsidP="000A77CF">
      <w:pPr>
        <w:pStyle w:val="11-texte"/>
        <w:spacing w:before="0" w:beforeAutospacing="0" w:after="0" w:afterAutospacing="0"/>
        <w:rPr>
          <w:rFonts w:ascii="Times New Roman" w:hAnsi="Times New Roman" w:cs="Times New Roman"/>
          <w:b/>
          <w:bCs/>
          <w:caps/>
          <w:sz w:val="24"/>
        </w:rPr>
      </w:pPr>
    </w:p>
    <w:p w:rsidR="001556EB" w:rsidRPr="00645049" w:rsidRDefault="001556EB" w:rsidP="0025606D">
      <w:pPr>
        <w:jc w:val="both"/>
        <w:rPr>
          <w:rFonts w:ascii="Arial" w:hAnsi="Arial" w:cs="Arial"/>
          <w:sz w:val="22"/>
          <w:szCs w:val="22"/>
        </w:rPr>
      </w:pPr>
      <w:r w:rsidRPr="00645049">
        <w:rPr>
          <w:rFonts w:ascii="Arial" w:hAnsi="Arial" w:cs="Arial"/>
          <w:sz w:val="22"/>
          <w:szCs w:val="22"/>
        </w:rPr>
        <w:t>Toutes les activités de l’interne sont supervisées par des biologistes seniors.</w:t>
      </w:r>
    </w:p>
    <w:p w:rsidR="001556EB" w:rsidRPr="00645049" w:rsidRDefault="001556EB" w:rsidP="000A77CF">
      <w:pPr>
        <w:pStyle w:val="11-texte"/>
        <w:spacing w:before="0" w:beforeAutospacing="0" w:after="0" w:afterAutospacing="0"/>
        <w:rPr>
          <w:rFonts w:ascii="Arial" w:hAnsi="Arial" w:cs="Arial"/>
          <w:b/>
          <w:bCs/>
          <w:caps/>
          <w:sz w:val="22"/>
          <w:szCs w:val="22"/>
        </w:rPr>
      </w:pPr>
    </w:p>
    <w:p w:rsidR="001556EB" w:rsidRPr="00645049" w:rsidRDefault="001556EB" w:rsidP="000A77CF">
      <w:pPr>
        <w:pStyle w:val="11-texte"/>
        <w:spacing w:before="0" w:beforeAutospacing="0" w:after="0" w:afterAutospacing="0"/>
        <w:rPr>
          <w:rFonts w:ascii="Arial" w:hAnsi="Arial" w:cs="Arial"/>
          <w:b/>
          <w:bCs/>
          <w:caps/>
          <w:sz w:val="22"/>
          <w:szCs w:val="22"/>
        </w:rPr>
      </w:pPr>
      <w:r w:rsidRPr="00645049">
        <w:rPr>
          <w:rFonts w:ascii="Arial" w:hAnsi="Arial" w:cs="Arial"/>
          <w:b/>
          <w:bCs/>
          <w:caps/>
          <w:sz w:val="22"/>
          <w:szCs w:val="22"/>
        </w:rPr>
        <w:t>BIOCHIMIE</w:t>
      </w:r>
    </w:p>
    <w:p w:rsidR="001556EB" w:rsidRPr="00645049" w:rsidRDefault="001556EB" w:rsidP="000A77CF">
      <w:pPr>
        <w:jc w:val="both"/>
        <w:rPr>
          <w:rFonts w:ascii="Arial" w:hAnsi="Arial" w:cs="Arial"/>
          <w:sz w:val="22"/>
          <w:szCs w:val="22"/>
        </w:rPr>
      </w:pPr>
      <w:r w:rsidRPr="00645049">
        <w:rPr>
          <w:rFonts w:ascii="Arial" w:hAnsi="Arial" w:cs="Arial"/>
          <w:b/>
          <w:sz w:val="22"/>
          <w:szCs w:val="22"/>
          <w:u w:val="single"/>
        </w:rPr>
        <w:t>Les outils à disposition</w:t>
      </w:r>
      <w:r w:rsidRPr="00645049">
        <w:rPr>
          <w:rFonts w:ascii="Arial" w:hAnsi="Arial" w:cs="Arial"/>
          <w:sz w:val="22"/>
          <w:szCs w:val="22"/>
        </w:rPr>
        <w:t xml:space="preserve"> couvrent l’ensemble des examens les plus courants de la spécialité:</w:t>
      </w:r>
    </w:p>
    <w:p w:rsidR="001556EB" w:rsidRPr="00645049" w:rsidRDefault="001556EB" w:rsidP="000A77CF">
      <w:pPr>
        <w:pStyle w:val="11-texte"/>
        <w:spacing w:before="0" w:beforeAutospacing="0" w:after="0" w:afterAutospacing="0"/>
        <w:jc w:val="both"/>
        <w:rPr>
          <w:rFonts w:ascii="Arial" w:hAnsi="Arial" w:cs="Arial"/>
          <w:sz w:val="22"/>
          <w:szCs w:val="22"/>
        </w:rPr>
      </w:pPr>
      <w:r w:rsidRPr="00645049">
        <w:rPr>
          <w:rFonts w:ascii="Arial" w:hAnsi="Arial" w:cs="Arial"/>
          <w:sz w:val="22"/>
          <w:szCs w:val="22"/>
        </w:rPr>
        <w:t xml:space="preserve">- les principales méthodes de mesures (spectrophotométrie, photométrie de flamme, osmomètre, électrodes spécifiques, gazométrie sanguine…) ; </w:t>
      </w:r>
    </w:p>
    <w:p w:rsidR="001556EB" w:rsidRPr="00645049" w:rsidRDefault="001556EB" w:rsidP="000A77CF">
      <w:pPr>
        <w:pStyle w:val="11-texte"/>
        <w:spacing w:before="0" w:beforeAutospacing="0" w:after="0" w:afterAutospacing="0"/>
        <w:jc w:val="both"/>
        <w:rPr>
          <w:rFonts w:ascii="Arial" w:hAnsi="Arial" w:cs="Arial"/>
          <w:sz w:val="22"/>
          <w:szCs w:val="22"/>
        </w:rPr>
      </w:pPr>
      <w:r w:rsidRPr="00645049">
        <w:rPr>
          <w:rFonts w:ascii="Arial" w:hAnsi="Arial" w:cs="Arial"/>
          <w:sz w:val="22"/>
          <w:szCs w:val="22"/>
        </w:rPr>
        <w:t>- des techniques séparatives : chromatographie HPLC</w:t>
      </w:r>
      <w:r w:rsidRPr="00645049">
        <w:rPr>
          <w:rFonts w:ascii="Arial" w:hAnsi="Arial" w:cs="Arial"/>
          <w:strike/>
          <w:sz w:val="22"/>
          <w:szCs w:val="22"/>
        </w:rPr>
        <w:t xml:space="preserve"> </w:t>
      </w:r>
      <w:r w:rsidRPr="00645049">
        <w:rPr>
          <w:rFonts w:ascii="Arial" w:hAnsi="Arial" w:cs="Arial"/>
          <w:sz w:val="22"/>
          <w:szCs w:val="22"/>
        </w:rPr>
        <w:t>(hémoglobine A</w:t>
      </w:r>
      <w:r w:rsidRPr="00645049">
        <w:rPr>
          <w:rFonts w:ascii="Arial" w:hAnsi="Arial" w:cs="Arial"/>
          <w:sz w:val="22"/>
          <w:szCs w:val="22"/>
          <w:vertAlign w:val="subscript"/>
        </w:rPr>
        <w:t>1C</w:t>
      </w:r>
      <w:r w:rsidRPr="00645049">
        <w:rPr>
          <w:rFonts w:ascii="Arial" w:hAnsi="Arial" w:cs="Arial"/>
          <w:sz w:val="22"/>
          <w:szCs w:val="22"/>
        </w:rPr>
        <w:t>), électrophorèses et isofocalisation, immunofixation des protéines sériques) ;</w:t>
      </w:r>
    </w:p>
    <w:p w:rsidR="001556EB" w:rsidRPr="00645049" w:rsidRDefault="001556EB" w:rsidP="000A77CF">
      <w:pPr>
        <w:pStyle w:val="11-texte"/>
        <w:spacing w:before="0" w:beforeAutospacing="0" w:after="0" w:afterAutospacing="0"/>
        <w:jc w:val="both"/>
        <w:rPr>
          <w:rFonts w:ascii="Arial" w:hAnsi="Arial" w:cs="Arial"/>
          <w:sz w:val="22"/>
          <w:szCs w:val="22"/>
        </w:rPr>
      </w:pPr>
      <w:r w:rsidRPr="00645049">
        <w:rPr>
          <w:rFonts w:ascii="Arial" w:hAnsi="Arial" w:cs="Arial"/>
          <w:sz w:val="22"/>
          <w:szCs w:val="22"/>
        </w:rPr>
        <w:t>- les techniques de dosages chimiques, enzymatiques (substrats et activités enzymatiques) et immunologiques (hormones et marqueurs protéiques), et leur application à des systèmes analytiques automatisés (Unicel DxC, DxI 800 Beckman, Unicel DxC600 et Access2 Beckman, Liaison DiaSorin, Vidas bioMérieux);</w:t>
      </w:r>
    </w:p>
    <w:p w:rsidR="001556EB" w:rsidRPr="00645049" w:rsidRDefault="001556EB" w:rsidP="000A77CF">
      <w:pPr>
        <w:pStyle w:val="11-texte"/>
        <w:spacing w:before="0" w:beforeAutospacing="0" w:after="0" w:afterAutospacing="0"/>
        <w:jc w:val="both"/>
        <w:rPr>
          <w:rFonts w:ascii="Arial" w:hAnsi="Arial" w:cs="Arial"/>
          <w:sz w:val="22"/>
          <w:szCs w:val="22"/>
        </w:rPr>
      </w:pPr>
      <w:r w:rsidRPr="00645049">
        <w:rPr>
          <w:rFonts w:ascii="Arial" w:hAnsi="Arial" w:cs="Arial"/>
          <w:sz w:val="22"/>
          <w:szCs w:val="22"/>
        </w:rPr>
        <w:t xml:space="preserve">- les outils de l’assurance de qualité en biochimie ; </w:t>
      </w:r>
    </w:p>
    <w:p w:rsidR="001556EB" w:rsidRPr="00645049" w:rsidRDefault="001556EB" w:rsidP="000A77CF">
      <w:pPr>
        <w:pStyle w:val="11-texte"/>
        <w:spacing w:before="0" w:beforeAutospacing="0" w:after="0" w:afterAutospacing="0"/>
        <w:jc w:val="both"/>
        <w:rPr>
          <w:rFonts w:ascii="Arial" w:hAnsi="Arial" w:cs="Arial"/>
          <w:sz w:val="22"/>
          <w:szCs w:val="22"/>
        </w:rPr>
      </w:pPr>
      <w:r w:rsidRPr="00645049">
        <w:rPr>
          <w:rFonts w:ascii="Arial" w:hAnsi="Arial" w:cs="Arial"/>
          <w:sz w:val="22"/>
          <w:szCs w:val="22"/>
        </w:rPr>
        <w:t>- l’informatique et la connectique.</w:t>
      </w:r>
    </w:p>
    <w:p w:rsidR="001556EB" w:rsidRPr="00645049" w:rsidRDefault="001556EB" w:rsidP="000A77CF">
      <w:pPr>
        <w:pStyle w:val="11-texte"/>
        <w:spacing w:before="0" w:beforeAutospacing="0" w:after="0" w:afterAutospacing="0"/>
        <w:jc w:val="both"/>
        <w:rPr>
          <w:rFonts w:ascii="Arial" w:hAnsi="Arial" w:cs="Arial"/>
          <w:sz w:val="22"/>
          <w:szCs w:val="22"/>
        </w:rPr>
      </w:pPr>
    </w:p>
    <w:p w:rsidR="001556EB" w:rsidRPr="00645049" w:rsidRDefault="001556EB" w:rsidP="000A77CF">
      <w:pPr>
        <w:pStyle w:val="11-texte"/>
        <w:spacing w:before="0" w:beforeAutospacing="0" w:after="0" w:afterAutospacing="0"/>
        <w:jc w:val="both"/>
        <w:rPr>
          <w:rFonts w:ascii="Arial" w:hAnsi="Arial" w:cs="Arial"/>
          <w:sz w:val="22"/>
          <w:szCs w:val="22"/>
        </w:rPr>
      </w:pPr>
      <w:r w:rsidRPr="00645049">
        <w:rPr>
          <w:rFonts w:ascii="Arial" w:hAnsi="Arial" w:cs="Arial"/>
          <w:b/>
          <w:sz w:val="22"/>
          <w:szCs w:val="22"/>
          <w:u w:val="single"/>
        </w:rPr>
        <w:t>L’apprentissage des physiopathologies</w:t>
      </w:r>
      <w:r w:rsidRPr="00645049">
        <w:rPr>
          <w:rFonts w:ascii="Arial" w:hAnsi="Arial" w:cs="Arial"/>
          <w:sz w:val="22"/>
          <w:szCs w:val="22"/>
        </w:rPr>
        <w:t xml:space="preserve"> et de l’interprétation des examens est assuré :</w:t>
      </w:r>
    </w:p>
    <w:p w:rsidR="001556EB" w:rsidRPr="00645049" w:rsidRDefault="001556EB" w:rsidP="000A77CF">
      <w:pPr>
        <w:pStyle w:val="11-texte"/>
        <w:numPr>
          <w:ilvl w:val="0"/>
          <w:numId w:val="15"/>
        </w:numPr>
        <w:spacing w:before="0" w:beforeAutospacing="0" w:after="0" w:afterAutospacing="0"/>
        <w:jc w:val="both"/>
        <w:rPr>
          <w:rFonts w:ascii="Arial" w:hAnsi="Arial" w:cs="Arial"/>
          <w:sz w:val="22"/>
          <w:szCs w:val="22"/>
        </w:rPr>
      </w:pPr>
      <w:r w:rsidRPr="00645049">
        <w:rPr>
          <w:rFonts w:ascii="Arial" w:hAnsi="Arial" w:cs="Arial"/>
          <w:sz w:val="22"/>
          <w:szCs w:val="22"/>
        </w:rPr>
        <w:t>pour le niveau 1, par la participation des internes à l’enseignement théorique organisé par les enseignants du CHRU ;</w:t>
      </w:r>
    </w:p>
    <w:p w:rsidR="001556EB" w:rsidRPr="00645049" w:rsidRDefault="001556EB" w:rsidP="000A77CF">
      <w:pPr>
        <w:pStyle w:val="11-texte"/>
        <w:numPr>
          <w:ilvl w:val="0"/>
          <w:numId w:val="15"/>
        </w:numPr>
        <w:spacing w:before="0" w:beforeAutospacing="0" w:after="0" w:afterAutospacing="0"/>
        <w:jc w:val="both"/>
        <w:rPr>
          <w:rFonts w:ascii="Arial" w:hAnsi="Arial" w:cs="Arial"/>
          <w:sz w:val="22"/>
          <w:szCs w:val="22"/>
        </w:rPr>
      </w:pPr>
      <w:r w:rsidRPr="00645049">
        <w:rPr>
          <w:rFonts w:ascii="Arial" w:hAnsi="Arial" w:cs="Arial"/>
          <w:sz w:val="22"/>
          <w:szCs w:val="22"/>
        </w:rPr>
        <w:t>la discussion de la cohérence des prescriptions et de la pertinence des résultats, avec les biologistes « seniors », par l’analyse de dossiers clinico-biologiques sélectionnés dans l’activité quotidienne ; l’interne est en relation directe avec les praticiens qui l’encadrent et participe à toute discussion sur l’analyse critique des résultats, la cohérence bio-clinique et les dossiers particuliers, avec l’avantage de disposer dans le laboratoire de l’ensemble des données biologiques ;</w:t>
      </w:r>
    </w:p>
    <w:p w:rsidR="001556EB" w:rsidRPr="00645049" w:rsidRDefault="001556EB" w:rsidP="000A77CF">
      <w:pPr>
        <w:pStyle w:val="11-texte"/>
        <w:numPr>
          <w:ilvl w:val="0"/>
          <w:numId w:val="15"/>
        </w:numPr>
        <w:spacing w:before="0" w:beforeAutospacing="0" w:after="0" w:afterAutospacing="0"/>
        <w:jc w:val="both"/>
        <w:rPr>
          <w:rFonts w:ascii="Arial" w:hAnsi="Arial" w:cs="Arial"/>
          <w:sz w:val="22"/>
          <w:szCs w:val="22"/>
        </w:rPr>
      </w:pPr>
      <w:r w:rsidRPr="00645049">
        <w:rPr>
          <w:rFonts w:ascii="Arial" w:hAnsi="Arial" w:cs="Arial"/>
          <w:sz w:val="22"/>
          <w:szCs w:val="22"/>
        </w:rPr>
        <w:t>la participation à des colloques et réunions de formation continue ;</w:t>
      </w:r>
    </w:p>
    <w:p w:rsidR="001556EB" w:rsidRPr="00645049" w:rsidRDefault="001556EB" w:rsidP="000A77CF">
      <w:pPr>
        <w:pStyle w:val="11-texte"/>
        <w:numPr>
          <w:ilvl w:val="0"/>
          <w:numId w:val="15"/>
        </w:numPr>
        <w:spacing w:before="0" w:beforeAutospacing="0" w:after="0" w:afterAutospacing="0"/>
        <w:jc w:val="both"/>
        <w:rPr>
          <w:rFonts w:ascii="Arial" w:hAnsi="Arial" w:cs="Arial"/>
          <w:sz w:val="22"/>
          <w:szCs w:val="22"/>
        </w:rPr>
      </w:pPr>
      <w:r w:rsidRPr="00645049">
        <w:rPr>
          <w:rFonts w:ascii="Arial" w:hAnsi="Arial" w:cs="Arial"/>
          <w:sz w:val="22"/>
          <w:szCs w:val="22"/>
        </w:rPr>
        <w:t>la participation à des études bio-cliniques et l’écriture d’articles.</w:t>
      </w:r>
    </w:p>
    <w:p w:rsidR="001556EB" w:rsidRPr="00645049" w:rsidRDefault="001556EB" w:rsidP="000A77CF">
      <w:pPr>
        <w:pStyle w:val="11-texte"/>
        <w:spacing w:before="0" w:beforeAutospacing="0" w:after="0" w:afterAutospacing="0"/>
        <w:jc w:val="both"/>
        <w:rPr>
          <w:rFonts w:ascii="Arial" w:hAnsi="Arial" w:cs="Arial"/>
          <w:sz w:val="22"/>
          <w:szCs w:val="22"/>
        </w:rPr>
      </w:pPr>
    </w:p>
    <w:p w:rsidR="001556EB" w:rsidRPr="00645049" w:rsidRDefault="001556EB" w:rsidP="000A77CF">
      <w:pPr>
        <w:pStyle w:val="11-texte"/>
        <w:spacing w:before="0" w:beforeAutospacing="0" w:after="0" w:afterAutospacing="0"/>
        <w:jc w:val="both"/>
        <w:rPr>
          <w:rFonts w:ascii="Arial" w:hAnsi="Arial" w:cs="Arial"/>
          <w:b/>
          <w:sz w:val="22"/>
          <w:szCs w:val="22"/>
          <w:u w:val="single"/>
        </w:rPr>
      </w:pPr>
      <w:r w:rsidRPr="00645049">
        <w:rPr>
          <w:rFonts w:ascii="Arial" w:hAnsi="Arial" w:cs="Arial"/>
          <w:b/>
          <w:sz w:val="22"/>
          <w:szCs w:val="22"/>
          <w:u w:val="single"/>
        </w:rPr>
        <w:t>L’apprentissage de le démarche qualité</w:t>
      </w:r>
    </w:p>
    <w:p w:rsidR="001556EB" w:rsidRPr="00645049" w:rsidRDefault="001556EB" w:rsidP="000A77CF">
      <w:pPr>
        <w:pStyle w:val="11-texte"/>
        <w:numPr>
          <w:ilvl w:val="0"/>
          <w:numId w:val="14"/>
        </w:numPr>
        <w:spacing w:before="0" w:beforeAutospacing="0" w:after="0" w:afterAutospacing="0"/>
        <w:jc w:val="both"/>
        <w:rPr>
          <w:rFonts w:ascii="Arial" w:hAnsi="Arial" w:cs="Arial"/>
          <w:sz w:val="22"/>
          <w:szCs w:val="22"/>
        </w:rPr>
      </w:pPr>
      <w:r w:rsidRPr="00645049">
        <w:rPr>
          <w:rFonts w:ascii="Arial" w:hAnsi="Arial" w:cs="Arial"/>
          <w:sz w:val="22"/>
          <w:szCs w:val="22"/>
        </w:rPr>
        <w:t>Connaitre les modalités de mise en œuvre de l’accréditation des laboratoires d’analyse médicales</w:t>
      </w:r>
    </w:p>
    <w:p w:rsidR="001556EB" w:rsidRPr="00645049" w:rsidRDefault="001556EB" w:rsidP="000A77CF">
      <w:pPr>
        <w:pStyle w:val="11-texte"/>
        <w:numPr>
          <w:ilvl w:val="0"/>
          <w:numId w:val="14"/>
        </w:numPr>
        <w:spacing w:before="0" w:beforeAutospacing="0" w:after="0" w:afterAutospacing="0"/>
        <w:jc w:val="both"/>
        <w:rPr>
          <w:rFonts w:ascii="Arial" w:hAnsi="Arial" w:cs="Arial"/>
          <w:sz w:val="22"/>
          <w:szCs w:val="22"/>
        </w:rPr>
      </w:pPr>
      <w:r w:rsidRPr="00645049">
        <w:rPr>
          <w:rFonts w:ascii="Arial" w:hAnsi="Arial" w:cs="Arial"/>
          <w:sz w:val="22"/>
          <w:szCs w:val="22"/>
        </w:rPr>
        <w:t>Rédaction de protocoles</w:t>
      </w:r>
    </w:p>
    <w:p w:rsidR="001556EB" w:rsidRPr="00645049" w:rsidRDefault="001556EB" w:rsidP="000A77CF">
      <w:pPr>
        <w:pStyle w:val="11-texte"/>
        <w:numPr>
          <w:ilvl w:val="0"/>
          <w:numId w:val="14"/>
        </w:numPr>
        <w:spacing w:before="0" w:beforeAutospacing="0" w:after="0" w:afterAutospacing="0"/>
        <w:jc w:val="both"/>
        <w:rPr>
          <w:rFonts w:ascii="Arial" w:hAnsi="Arial" w:cs="Arial"/>
          <w:sz w:val="22"/>
          <w:szCs w:val="22"/>
        </w:rPr>
      </w:pPr>
      <w:r w:rsidRPr="00645049">
        <w:rPr>
          <w:rFonts w:ascii="Arial" w:hAnsi="Arial" w:cs="Arial"/>
          <w:sz w:val="22"/>
          <w:szCs w:val="22"/>
        </w:rPr>
        <w:t>Validation et comparaison de méthodes</w:t>
      </w:r>
    </w:p>
    <w:p w:rsidR="001556EB" w:rsidRPr="00645049" w:rsidRDefault="001556EB" w:rsidP="000A77CF">
      <w:pPr>
        <w:pStyle w:val="11-texte"/>
        <w:spacing w:before="0" w:beforeAutospacing="0" w:after="0" w:afterAutospacing="0"/>
        <w:rPr>
          <w:rFonts w:ascii="Arial" w:hAnsi="Arial" w:cs="Arial"/>
          <w:sz w:val="22"/>
          <w:szCs w:val="22"/>
        </w:rPr>
      </w:pPr>
    </w:p>
    <w:p w:rsidR="001556EB" w:rsidRPr="00645049" w:rsidRDefault="001556EB" w:rsidP="000A77CF">
      <w:pPr>
        <w:pStyle w:val="11-texte"/>
        <w:spacing w:before="0" w:beforeAutospacing="0" w:after="0" w:afterAutospacing="0"/>
        <w:jc w:val="both"/>
        <w:rPr>
          <w:rFonts w:ascii="Arial" w:hAnsi="Arial" w:cs="Arial"/>
          <w:b/>
          <w:sz w:val="22"/>
          <w:szCs w:val="22"/>
          <w:u w:val="single"/>
        </w:rPr>
      </w:pPr>
      <w:r w:rsidRPr="00645049">
        <w:rPr>
          <w:rFonts w:ascii="Arial" w:hAnsi="Arial" w:cs="Arial"/>
          <w:b/>
          <w:sz w:val="22"/>
          <w:szCs w:val="22"/>
          <w:u w:val="single"/>
        </w:rPr>
        <w:t>Champs d’application de l’activité du laboratoire de biochimie</w:t>
      </w:r>
      <w:r w:rsidRPr="00645049">
        <w:rPr>
          <w:rFonts w:ascii="Arial" w:hAnsi="Arial" w:cs="Arial"/>
          <w:b/>
          <w:sz w:val="22"/>
          <w:szCs w:val="22"/>
        </w:rPr>
        <w:t> :</w:t>
      </w:r>
    </w:p>
    <w:p w:rsidR="001556EB" w:rsidRPr="00645049" w:rsidRDefault="001556EB" w:rsidP="000A77CF">
      <w:pPr>
        <w:jc w:val="both"/>
        <w:rPr>
          <w:rFonts w:ascii="Arial" w:hAnsi="Arial" w:cs="Arial"/>
          <w:sz w:val="22"/>
          <w:szCs w:val="22"/>
        </w:rPr>
      </w:pPr>
      <w:r w:rsidRPr="00645049">
        <w:rPr>
          <w:rFonts w:ascii="Arial" w:hAnsi="Arial" w:cs="Arial"/>
          <w:sz w:val="22"/>
          <w:szCs w:val="22"/>
        </w:rPr>
        <w:t>Les champs d’application suivant sont couverts par les relations clinico-biologiques avec les services spécialisés:</w:t>
      </w:r>
    </w:p>
    <w:p w:rsidR="001556EB" w:rsidRPr="00645049" w:rsidRDefault="001556EB" w:rsidP="000A77CF">
      <w:pPr>
        <w:jc w:val="both"/>
        <w:rPr>
          <w:rFonts w:ascii="Arial" w:hAnsi="Arial" w:cs="Arial"/>
          <w:sz w:val="22"/>
          <w:szCs w:val="22"/>
        </w:rPr>
      </w:pPr>
      <w:r w:rsidRPr="00645049">
        <w:rPr>
          <w:rFonts w:ascii="Arial" w:hAnsi="Arial" w:cs="Arial"/>
          <w:sz w:val="22"/>
          <w:szCs w:val="22"/>
        </w:rPr>
        <w:t>- perturbations électrolytiques et acido-basiques (urgences adultes et pédiatriques, réanimation, soins intensifs);</w:t>
      </w:r>
    </w:p>
    <w:p w:rsidR="001556EB" w:rsidRPr="00645049" w:rsidRDefault="001556EB" w:rsidP="000A77CF">
      <w:pPr>
        <w:jc w:val="both"/>
        <w:rPr>
          <w:rFonts w:ascii="Arial" w:hAnsi="Arial" w:cs="Arial"/>
          <w:sz w:val="22"/>
          <w:szCs w:val="22"/>
        </w:rPr>
      </w:pPr>
      <w:r w:rsidRPr="00645049">
        <w:rPr>
          <w:rFonts w:ascii="Arial" w:hAnsi="Arial" w:cs="Arial"/>
          <w:sz w:val="22"/>
          <w:szCs w:val="22"/>
        </w:rPr>
        <w:t>- syndromes inflammatoires (ensembles des services);</w:t>
      </w:r>
    </w:p>
    <w:p w:rsidR="001556EB" w:rsidRPr="00645049" w:rsidRDefault="001556EB" w:rsidP="000A77CF">
      <w:pPr>
        <w:jc w:val="both"/>
        <w:rPr>
          <w:rFonts w:ascii="Arial" w:hAnsi="Arial" w:cs="Arial"/>
          <w:sz w:val="22"/>
          <w:szCs w:val="22"/>
        </w:rPr>
      </w:pPr>
      <w:r w:rsidRPr="00645049">
        <w:rPr>
          <w:rFonts w:ascii="Arial" w:hAnsi="Arial" w:cs="Arial"/>
          <w:sz w:val="22"/>
          <w:szCs w:val="22"/>
        </w:rPr>
        <w:t>- pathologies osseuses et rhumatismales (service de rhumatologie) ;</w:t>
      </w:r>
    </w:p>
    <w:p w:rsidR="001556EB" w:rsidRPr="00645049" w:rsidRDefault="001556EB" w:rsidP="000A77CF">
      <w:pPr>
        <w:jc w:val="both"/>
        <w:rPr>
          <w:rFonts w:ascii="Arial" w:hAnsi="Arial" w:cs="Arial"/>
          <w:sz w:val="22"/>
          <w:szCs w:val="22"/>
        </w:rPr>
      </w:pPr>
      <w:r w:rsidRPr="00645049">
        <w:rPr>
          <w:rFonts w:ascii="Arial" w:hAnsi="Arial" w:cs="Arial"/>
          <w:sz w:val="22"/>
          <w:szCs w:val="22"/>
        </w:rPr>
        <w:t>- pathologies oncologiques (département d’oncologie);</w:t>
      </w:r>
    </w:p>
    <w:p w:rsidR="001556EB" w:rsidRPr="00645049" w:rsidRDefault="001556EB" w:rsidP="000A77CF">
      <w:pPr>
        <w:jc w:val="both"/>
        <w:rPr>
          <w:rFonts w:ascii="Arial" w:hAnsi="Arial" w:cs="Arial"/>
          <w:sz w:val="22"/>
          <w:szCs w:val="22"/>
        </w:rPr>
      </w:pPr>
      <w:r w:rsidRPr="00645049">
        <w:rPr>
          <w:rFonts w:ascii="Arial" w:hAnsi="Arial" w:cs="Arial"/>
          <w:sz w:val="22"/>
          <w:szCs w:val="22"/>
        </w:rPr>
        <w:t>- facteurs de risque et pathologies cardiovasculaires (service de cardiologie et hôpital de jour);</w:t>
      </w:r>
    </w:p>
    <w:p w:rsidR="001556EB" w:rsidRPr="00645049" w:rsidRDefault="001556EB" w:rsidP="000A77CF">
      <w:pPr>
        <w:jc w:val="both"/>
        <w:rPr>
          <w:rFonts w:ascii="Arial" w:hAnsi="Arial" w:cs="Arial"/>
          <w:sz w:val="22"/>
          <w:szCs w:val="22"/>
        </w:rPr>
      </w:pPr>
      <w:r w:rsidRPr="00645049">
        <w:rPr>
          <w:rFonts w:ascii="Arial" w:hAnsi="Arial" w:cs="Arial"/>
          <w:sz w:val="22"/>
          <w:szCs w:val="22"/>
        </w:rPr>
        <w:t>- pathologies hépatiques et gastroentérologiques (notamment participation aux études menées sur la fibrose hépatique dans une population de sujets présentant un diabète de type 2  ou un syndrome métabolique);</w:t>
      </w:r>
    </w:p>
    <w:p w:rsidR="001556EB" w:rsidRPr="00645049" w:rsidRDefault="001556EB" w:rsidP="000A77CF">
      <w:pPr>
        <w:jc w:val="both"/>
        <w:rPr>
          <w:rFonts w:ascii="Arial" w:hAnsi="Arial" w:cs="Arial"/>
          <w:sz w:val="22"/>
          <w:szCs w:val="22"/>
        </w:rPr>
      </w:pPr>
      <w:r w:rsidRPr="00645049">
        <w:rPr>
          <w:rFonts w:ascii="Arial" w:hAnsi="Arial" w:cs="Arial"/>
          <w:sz w:val="22"/>
          <w:szCs w:val="22"/>
        </w:rPr>
        <w:t>- troubles de la nutrition et diabète, pathologies métaboliques et endocriniennes (hopital de jour et services de pédiatrie);</w:t>
      </w:r>
    </w:p>
    <w:p w:rsidR="001556EB" w:rsidRPr="00645049" w:rsidRDefault="001556EB" w:rsidP="000A77CF">
      <w:pPr>
        <w:jc w:val="both"/>
        <w:rPr>
          <w:rFonts w:ascii="Arial" w:hAnsi="Arial" w:cs="Arial"/>
          <w:sz w:val="22"/>
          <w:szCs w:val="22"/>
        </w:rPr>
      </w:pPr>
      <w:r w:rsidRPr="00645049">
        <w:rPr>
          <w:rFonts w:ascii="Arial" w:hAnsi="Arial" w:cs="Arial"/>
          <w:sz w:val="22"/>
          <w:szCs w:val="22"/>
        </w:rPr>
        <w:t>- pathologies néphro-urinaires (service d’urologie);</w:t>
      </w:r>
    </w:p>
    <w:p w:rsidR="001556EB" w:rsidRPr="00645049" w:rsidRDefault="001556EB" w:rsidP="000A77CF">
      <w:pPr>
        <w:jc w:val="both"/>
        <w:rPr>
          <w:rFonts w:ascii="Arial" w:hAnsi="Arial" w:cs="Arial"/>
          <w:sz w:val="22"/>
          <w:szCs w:val="22"/>
        </w:rPr>
      </w:pPr>
      <w:r w:rsidRPr="00645049">
        <w:rPr>
          <w:rFonts w:ascii="Arial" w:hAnsi="Arial" w:cs="Arial"/>
          <w:sz w:val="22"/>
          <w:szCs w:val="22"/>
        </w:rPr>
        <w:t>- reproduction et grossesse (maternité);</w:t>
      </w:r>
    </w:p>
    <w:p w:rsidR="001556EB" w:rsidRPr="00645049" w:rsidRDefault="001556EB" w:rsidP="000A77CF">
      <w:pPr>
        <w:jc w:val="both"/>
        <w:rPr>
          <w:rFonts w:ascii="Arial" w:hAnsi="Arial" w:cs="Arial"/>
          <w:sz w:val="22"/>
          <w:szCs w:val="22"/>
        </w:rPr>
      </w:pPr>
      <w:r w:rsidRPr="00645049">
        <w:rPr>
          <w:rFonts w:ascii="Arial" w:hAnsi="Arial" w:cs="Arial"/>
          <w:sz w:val="22"/>
          <w:szCs w:val="22"/>
        </w:rPr>
        <w:t>- pathologies du vieillissement, pathologies neurodégénératives (service de neurologie, programme de recherche sur la SEP);</w:t>
      </w:r>
    </w:p>
    <w:p w:rsidR="001556EB" w:rsidRPr="00645049" w:rsidRDefault="001556EB" w:rsidP="000A77CF">
      <w:pPr>
        <w:jc w:val="both"/>
        <w:rPr>
          <w:rFonts w:ascii="Arial" w:hAnsi="Arial" w:cs="Arial"/>
          <w:sz w:val="22"/>
          <w:szCs w:val="22"/>
        </w:rPr>
      </w:pPr>
      <w:r w:rsidRPr="00645049">
        <w:rPr>
          <w:rFonts w:ascii="Arial" w:hAnsi="Arial" w:cs="Arial"/>
          <w:sz w:val="22"/>
          <w:szCs w:val="22"/>
        </w:rPr>
        <w:t>- pathologies pédiatriques et principales maladies génétiques (services de pédiatrie, participation aux bases de données de maladies rares)</w:t>
      </w:r>
    </w:p>
    <w:p w:rsidR="001556EB" w:rsidRPr="00645049" w:rsidRDefault="001556EB" w:rsidP="000A77CF">
      <w:pPr>
        <w:jc w:val="both"/>
        <w:rPr>
          <w:rFonts w:ascii="Arial" w:hAnsi="Arial" w:cs="Arial"/>
          <w:sz w:val="22"/>
          <w:szCs w:val="22"/>
        </w:rPr>
      </w:pPr>
    </w:p>
    <w:p w:rsidR="001556EB" w:rsidRPr="00645049" w:rsidRDefault="001556EB" w:rsidP="000A77CF">
      <w:pPr>
        <w:pStyle w:val="11-texte"/>
        <w:spacing w:before="0" w:beforeAutospacing="0" w:after="0" w:afterAutospacing="0"/>
        <w:rPr>
          <w:rFonts w:ascii="Arial" w:hAnsi="Arial" w:cs="Arial"/>
          <w:b/>
          <w:bCs/>
          <w:caps/>
          <w:sz w:val="22"/>
          <w:szCs w:val="22"/>
        </w:rPr>
      </w:pPr>
      <w:r w:rsidRPr="00645049">
        <w:rPr>
          <w:rFonts w:ascii="Arial" w:hAnsi="Arial" w:cs="Arial"/>
          <w:sz w:val="22"/>
          <w:szCs w:val="22"/>
        </w:rPr>
        <w:t>L’interne doit de plus connaître les exigences de la démarche d’assurance de la qualité  et s’y impliquer</w:t>
      </w:r>
      <w:r w:rsidRPr="00645049">
        <w:rPr>
          <w:rFonts w:ascii="Arial" w:hAnsi="Arial" w:cs="Arial"/>
          <w:b/>
          <w:bCs/>
          <w:caps/>
          <w:sz w:val="22"/>
          <w:szCs w:val="22"/>
        </w:rPr>
        <w:t xml:space="preserve"> </w:t>
      </w:r>
    </w:p>
    <w:p w:rsidR="001556EB" w:rsidRPr="00645049" w:rsidRDefault="001556EB" w:rsidP="000A77CF">
      <w:pPr>
        <w:pStyle w:val="11-texte"/>
        <w:spacing w:before="0" w:beforeAutospacing="0" w:after="0" w:afterAutospacing="0"/>
        <w:rPr>
          <w:rFonts w:ascii="Arial" w:hAnsi="Arial" w:cs="Arial"/>
          <w:b/>
          <w:bCs/>
          <w:caps/>
          <w:sz w:val="22"/>
          <w:szCs w:val="22"/>
        </w:rPr>
      </w:pPr>
    </w:p>
    <w:p w:rsidR="001556EB" w:rsidRPr="00645049" w:rsidRDefault="001556EB" w:rsidP="000A77CF">
      <w:pPr>
        <w:pStyle w:val="11-texte"/>
        <w:spacing w:before="0" w:beforeAutospacing="0" w:after="0" w:afterAutospacing="0"/>
        <w:rPr>
          <w:rFonts w:ascii="Arial" w:hAnsi="Arial" w:cs="Arial"/>
          <w:b/>
          <w:bCs/>
          <w:caps/>
          <w:sz w:val="22"/>
          <w:szCs w:val="22"/>
        </w:rPr>
      </w:pPr>
    </w:p>
    <w:p w:rsidR="001556EB" w:rsidRPr="00645049" w:rsidRDefault="001556EB" w:rsidP="000A77CF">
      <w:pPr>
        <w:pStyle w:val="11-texte"/>
        <w:spacing w:before="0" w:beforeAutospacing="0" w:after="0" w:afterAutospacing="0"/>
        <w:rPr>
          <w:rFonts w:ascii="Arial" w:eastAsia="Times New Roman" w:hAnsi="Arial" w:cs="Arial"/>
          <w:b/>
          <w:bCs/>
          <w:sz w:val="22"/>
          <w:szCs w:val="22"/>
        </w:rPr>
      </w:pPr>
      <w:r w:rsidRPr="00645049">
        <w:rPr>
          <w:rFonts w:ascii="Arial" w:hAnsi="Arial" w:cs="Arial"/>
          <w:b/>
          <w:bCs/>
          <w:sz w:val="22"/>
          <w:szCs w:val="22"/>
        </w:rPr>
        <w:t>HEMATOLOGIE</w:t>
      </w:r>
    </w:p>
    <w:p w:rsidR="001556EB" w:rsidRPr="00645049" w:rsidRDefault="001556EB" w:rsidP="000A77CF">
      <w:pPr>
        <w:pStyle w:val="11-texte"/>
        <w:spacing w:before="0" w:beforeAutospacing="0" w:after="0" w:afterAutospacing="0"/>
        <w:rPr>
          <w:rFonts w:ascii="Arial" w:hAnsi="Arial" w:cs="Arial"/>
          <w:b/>
          <w:bCs/>
          <w:sz w:val="22"/>
          <w:szCs w:val="22"/>
        </w:rPr>
      </w:pPr>
      <w:r w:rsidRPr="00645049">
        <w:rPr>
          <w:rFonts w:ascii="Arial" w:hAnsi="Arial" w:cs="Arial"/>
          <w:b/>
          <w:bCs/>
          <w:sz w:val="22"/>
          <w:szCs w:val="22"/>
        </w:rPr>
        <w:t> </w:t>
      </w:r>
    </w:p>
    <w:p w:rsidR="001556EB" w:rsidRPr="00645049" w:rsidRDefault="001556EB" w:rsidP="000A77CF">
      <w:pPr>
        <w:pStyle w:val="11-texte"/>
        <w:spacing w:before="0" w:beforeAutospacing="0" w:after="0" w:afterAutospacing="0"/>
        <w:jc w:val="both"/>
        <w:rPr>
          <w:rFonts w:ascii="Arial" w:hAnsi="Arial" w:cs="Arial"/>
          <w:sz w:val="22"/>
          <w:szCs w:val="22"/>
        </w:rPr>
      </w:pPr>
      <w:r w:rsidRPr="00645049">
        <w:rPr>
          <w:rFonts w:ascii="Arial" w:hAnsi="Arial" w:cs="Arial"/>
          <w:sz w:val="22"/>
          <w:szCs w:val="22"/>
        </w:rPr>
        <w:t>Le laboratoire traite les analyses de tous les services hospitaliers et notamment du service d’hématologie clinique (niveau B = toutes thérapeutiques sauf allogreffe) et d’oncologie ainsi que celles générées par l’importante activité de consultations externes d’hématologie (2000 consultations par an) qui couvrent toute la variété des pathologies hématologiques.</w:t>
      </w:r>
    </w:p>
    <w:p w:rsidR="001556EB" w:rsidRPr="00645049" w:rsidRDefault="001556EB" w:rsidP="000A77CF">
      <w:pPr>
        <w:pStyle w:val="11-texte"/>
        <w:spacing w:before="0" w:beforeAutospacing="0" w:after="0" w:afterAutospacing="0"/>
        <w:jc w:val="both"/>
        <w:rPr>
          <w:rFonts w:ascii="Arial" w:eastAsia="Times New Roman" w:hAnsi="Arial" w:cs="Arial"/>
          <w:sz w:val="22"/>
          <w:szCs w:val="22"/>
        </w:rPr>
      </w:pPr>
      <w:r w:rsidRPr="00645049">
        <w:rPr>
          <w:rFonts w:ascii="Arial" w:hAnsi="Arial" w:cs="Arial"/>
          <w:sz w:val="22"/>
          <w:szCs w:val="22"/>
        </w:rPr>
        <w:t xml:space="preserve"> </w:t>
      </w:r>
    </w:p>
    <w:p w:rsidR="001556EB" w:rsidRPr="00645049" w:rsidRDefault="001556EB" w:rsidP="000A77CF">
      <w:pPr>
        <w:pStyle w:val="11-texte"/>
        <w:spacing w:before="0" w:beforeAutospacing="0" w:after="0" w:afterAutospacing="0"/>
        <w:rPr>
          <w:rFonts w:ascii="Arial" w:eastAsia="Times New Roman" w:hAnsi="Arial" w:cs="Arial"/>
          <w:sz w:val="22"/>
          <w:szCs w:val="22"/>
          <w:u w:val="single"/>
        </w:rPr>
      </w:pPr>
      <w:r w:rsidRPr="00645049">
        <w:rPr>
          <w:rFonts w:ascii="Arial" w:hAnsi="Arial" w:cs="Arial"/>
          <w:b/>
          <w:bCs/>
          <w:sz w:val="22"/>
          <w:szCs w:val="22"/>
          <w:u w:val="single"/>
        </w:rPr>
        <w:t>Activité et équipement</w:t>
      </w:r>
    </w:p>
    <w:p w:rsidR="001556EB" w:rsidRPr="00645049" w:rsidRDefault="001556EB" w:rsidP="000A77CF">
      <w:pPr>
        <w:pStyle w:val="11-texte"/>
        <w:spacing w:before="120" w:beforeAutospacing="0" w:after="0" w:afterAutospacing="0"/>
        <w:ind w:left="340"/>
        <w:jc w:val="both"/>
        <w:rPr>
          <w:rFonts w:ascii="Arial" w:hAnsi="Arial" w:cs="Arial"/>
          <w:sz w:val="22"/>
          <w:szCs w:val="22"/>
        </w:rPr>
      </w:pPr>
      <w:r w:rsidRPr="00645049">
        <w:rPr>
          <w:rFonts w:ascii="Arial" w:hAnsi="Arial" w:cs="Arial"/>
          <w:sz w:val="22"/>
          <w:szCs w:val="22"/>
        </w:rPr>
        <w:t xml:space="preserve">1. </w:t>
      </w:r>
      <w:r w:rsidRPr="00645049">
        <w:rPr>
          <w:rFonts w:ascii="Arial" w:hAnsi="Arial" w:cs="Arial"/>
          <w:sz w:val="22"/>
          <w:szCs w:val="22"/>
          <w:u w:val="single"/>
        </w:rPr>
        <w:t>Hématimétrie-cytologie</w:t>
      </w:r>
      <w:r w:rsidRPr="00645049">
        <w:rPr>
          <w:rFonts w:ascii="Arial" w:hAnsi="Arial" w:cs="Arial"/>
          <w:sz w:val="22"/>
          <w:szCs w:val="22"/>
        </w:rPr>
        <w:t xml:space="preserve"> : automate Sysmex XE2100 avec module étaleur-colorateur réalisant 250 à 350 hémogrammes par jour, microscope de discussion, microscopes avec moniteur vidéo et acquisition d’images, salle d’enseignement de cytologie hématologique servant également pour d’autres formations. </w:t>
      </w:r>
    </w:p>
    <w:p w:rsidR="001556EB" w:rsidRPr="00645049" w:rsidRDefault="001556EB" w:rsidP="000A77CF">
      <w:pPr>
        <w:pStyle w:val="11-texte"/>
        <w:spacing w:before="120" w:beforeAutospacing="0" w:after="0" w:afterAutospacing="0"/>
        <w:ind w:left="340"/>
        <w:jc w:val="both"/>
        <w:rPr>
          <w:rFonts w:ascii="Arial" w:eastAsia="Times New Roman" w:hAnsi="Arial" w:cs="Arial"/>
          <w:sz w:val="22"/>
          <w:szCs w:val="22"/>
        </w:rPr>
      </w:pPr>
      <w:r w:rsidRPr="00645049">
        <w:rPr>
          <w:rFonts w:ascii="Arial" w:hAnsi="Arial" w:cs="Arial"/>
          <w:sz w:val="22"/>
          <w:szCs w:val="22"/>
        </w:rPr>
        <w:t xml:space="preserve">2. </w:t>
      </w:r>
      <w:r w:rsidRPr="00645049">
        <w:rPr>
          <w:rFonts w:ascii="Arial" w:hAnsi="Arial" w:cs="Arial"/>
          <w:sz w:val="22"/>
          <w:szCs w:val="22"/>
          <w:u w:val="single"/>
        </w:rPr>
        <w:t>Lecture Cytologique des myélogrammes</w:t>
      </w:r>
      <w:r w:rsidRPr="00645049">
        <w:rPr>
          <w:rFonts w:ascii="Arial" w:hAnsi="Arial" w:cs="Arial"/>
          <w:sz w:val="22"/>
          <w:szCs w:val="22"/>
        </w:rPr>
        <w:t xml:space="preserve"> : 70 par mois. L’interne effectue son propre décompte et sa proposition de conclusion qui sont ensuite commentés par le biologiste en fonction des résultats qu’il a lui-même rendus. La variété du recrutement de l’hôpital permet à l’interne de se confronter à la majorité des pathologies hématologiques pendant la durée de son stage. </w:t>
      </w:r>
    </w:p>
    <w:p w:rsidR="001556EB" w:rsidRPr="00645049" w:rsidRDefault="001556EB" w:rsidP="000A77CF">
      <w:pPr>
        <w:pStyle w:val="11-texte"/>
        <w:spacing w:before="120" w:beforeAutospacing="0" w:after="0" w:afterAutospacing="0"/>
        <w:ind w:left="340"/>
        <w:jc w:val="both"/>
        <w:rPr>
          <w:rFonts w:ascii="Arial" w:eastAsia="Times New Roman" w:hAnsi="Arial" w:cs="Arial"/>
          <w:sz w:val="22"/>
          <w:szCs w:val="22"/>
        </w:rPr>
      </w:pPr>
      <w:r w:rsidRPr="00645049">
        <w:rPr>
          <w:rFonts w:ascii="Arial" w:hAnsi="Arial" w:cs="Arial"/>
          <w:sz w:val="22"/>
          <w:szCs w:val="22"/>
        </w:rPr>
        <w:t xml:space="preserve">3. </w:t>
      </w:r>
      <w:r w:rsidRPr="00645049">
        <w:rPr>
          <w:rFonts w:ascii="Arial" w:hAnsi="Arial" w:cs="Arial"/>
          <w:sz w:val="22"/>
          <w:szCs w:val="22"/>
          <w:u w:val="single"/>
        </w:rPr>
        <w:t>Cytométrie en flux</w:t>
      </w:r>
      <w:r w:rsidRPr="00645049">
        <w:rPr>
          <w:rFonts w:ascii="Arial" w:hAnsi="Arial" w:cs="Arial"/>
          <w:sz w:val="22"/>
          <w:szCs w:val="22"/>
        </w:rPr>
        <w:t xml:space="preserve"> : automate FC500, 5 couleurs (Beckman Coulter) principalement utilisé pour le typage des hémopathies aiguës et syndromes lymphoprolifératifs chroniques ainsi que pour des activités de recherche (microparticules plaquettaires) et le développement de nouvelles activités de routine (détection de l’Hb fœtale, dosage de cytokines, tests d’allergie). Ce secteur réalise 150 profils immunophénotypiques par mois et constitue un intéressant complément de l’analyse cytologique effectuée par les mêmes biologistes sur le même site. </w:t>
      </w:r>
    </w:p>
    <w:p w:rsidR="001556EB" w:rsidRPr="00645049" w:rsidRDefault="001556EB" w:rsidP="000A77CF">
      <w:pPr>
        <w:pStyle w:val="11-texte"/>
        <w:spacing w:before="120" w:beforeAutospacing="0" w:after="0" w:afterAutospacing="0"/>
        <w:ind w:left="360" w:hanging="20"/>
        <w:jc w:val="both"/>
        <w:rPr>
          <w:rFonts w:ascii="Arial" w:eastAsia="Times New Roman" w:hAnsi="Arial" w:cs="Arial"/>
          <w:sz w:val="22"/>
          <w:szCs w:val="22"/>
        </w:rPr>
      </w:pPr>
      <w:r w:rsidRPr="00645049">
        <w:rPr>
          <w:rFonts w:ascii="Arial" w:hAnsi="Arial" w:cs="Arial"/>
          <w:sz w:val="22"/>
          <w:szCs w:val="22"/>
        </w:rPr>
        <w:t xml:space="preserve">4. </w:t>
      </w:r>
      <w:r w:rsidRPr="00645049">
        <w:rPr>
          <w:rFonts w:ascii="Arial" w:hAnsi="Arial" w:cs="Arial"/>
          <w:sz w:val="22"/>
          <w:szCs w:val="22"/>
          <w:u w:val="single"/>
        </w:rPr>
        <w:t>Hémostase</w:t>
      </w:r>
      <w:r w:rsidRPr="00645049">
        <w:rPr>
          <w:rFonts w:ascii="Arial" w:hAnsi="Arial" w:cs="Arial"/>
          <w:sz w:val="22"/>
          <w:szCs w:val="22"/>
        </w:rPr>
        <w:t> : automate ACL 500 (IL) traitant par jour en moyenne 200 explorations de l’hémostase et effectuant toute la variété des analyses figurant à la NABM, automate PFA pour étude de l’hémostase primaire, agrégomètre multicanaux, semi-automate ST8.</w:t>
      </w:r>
    </w:p>
    <w:p w:rsidR="001556EB" w:rsidRPr="00645049" w:rsidRDefault="001556EB" w:rsidP="000A77CF">
      <w:pPr>
        <w:pStyle w:val="11-texte"/>
        <w:spacing w:before="120" w:beforeAutospacing="0" w:after="0" w:afterAutospacing="0"/>
        <w:ind w:left="340"/>
        <w:jc w:val="both"/>
        <w:rPr>
          <w:rFonts w:ascii="Arial" w:eastAsia="Times New Roman" w:hAnsi="Arial" w:cs="Arial"/>
          <w:sz w:val="22"/>
          <w:szCs w:val="22"/>
        </w:rPr>
      </w:pPr>
      <w:r w:rsidRPr="00645049">
        <w:rPr>
          <w:rFonts w:ascii="Arial" w:hAnsi="Arial" w:cs="Arial"/>
          <w:sz w:val="22"/>
          <w:szCs w:val="22"/>
        </w:rPr>
        <w:t xml:space="preserve">5. </w:t>
      </w:r>
      <w:r w:rsidRPr="00645049">
        <w:rPr>
          <w:rFonts w:ascii="Arial" w:hAnsi="Arial" w:cs="Arial"/>
          <w:sz w:val="22"/>
          <w:szCs w:val="22"/>
          <w:u w:val="single"/>
        </w:rPr>
        <w:t>Immuno-hématologie et transfusion</w:t>
      </w:r>
      <w:r w:rsidRPr="00645049">
        <w:rPr>
          <w:rFonts w:ascii="Arial" w:hAnsi="Arial" w:cs="Arial"/>
          <w:sz w:val="22"/>
          <w:szCs w:val="22"/>
        </w:rPr>
        <w:t> : automate Galileo</w:t>
      </w:r>
      <w:r w:rsidRPr="00645049">
        <w:rPr>
          <w:rFonts w:ascii="Arial" w:hAnsi="Arial" w:cs="Arial"/>
          <w:sz w:val="22"/>
          <w:szCs w:val="22"/>
        </w:rPr>
        <w:sym w:font="Symbol" w:char="F0D4"/>
      </w:r>
      <w:r w:rsidRPr="00645049">
        <w:rPr>
          <w:rFonts w:ascii="Arial" w:hAnsi="Arial" w:cs="Arial"/>
          <w:sz w:val="22"/>
          <w:szCs w:val="22"/>
        </w:rPr>
        <w:t xml:space="preserve"> effectuant 1000 phénotypes érythrocytaires et 12 000 RAI par mois ; techniques manuelles restant entretenues. Le dépôt de produits sanguins labiles organise la cession de 10 000 poches par an.</w:t>
      </w:r>
    </w:p>
    <w:p w:rsidR="001556EB" w:rsidRPr="00645049" w:rsidRDefault="001556EB" w:rsidP="000A77CF">
      <w:pPr>
        <w:pStyle w:val="11-texte"/>
        <w:spacing w:before="120" w:beforeAutospacing="0" w:after="0" w:afterAutospacing="0"/>
        <w:jc w:val="both"/>
        <w:rPr>
          <w:rFonts w:ascii="Arial" w:hAnsi="Arial" w:cs="Arial"/>
          <w:b/>
          <w:bCs/>
          <w:sz w:val="22"/>
          <w:szCs w:val="22"/>
          <w:u w:val="single"/>
        </w:rPr>
      </w:pPr>
    </w:p>
    <w:p w:rsidR="001556EB" w:rsidRPr="00645049" w:rsidRDefault="001556EB" w:rsidP="000A77CF">
      <w:pPr>
        <w:pStyle w:val="11-texte"/>
        <w:spacing w:before="120" w:beforeAutospacing="0" w:after="0" w:afterAutospacing="0"/>
        <w:jc w:val="both"/>
        <w:rPr>
          <w:rFonts w:ascii="Arial" w:hAnsi="Arial" w:cs="Arial"/>
          <w:b/>
          <w:bCs/>
          <w:sz w:val="22"/>
          <w:szCs w:val="22"/>
          <w:u w:val="single"/>
        </w:rPr>
      </w:pPr>
    </w:p>
    <w:p w:rsidR="001556EB" w:rsidRPr="00645049" w:rsidRDefault="001556EB" w:rsidP="000A77CF">
      <w:pPr>
        <w:pStyle w:val="11-texte"/>
        <w:spacing w:before="120" w:beforeAutospacing="0" w:after="0" w:afterAutospacing="0"/>
        <w:jc w:val="both"/>
        <w:rPr>
          <w:rFonts w:ascii="Arial" w:eastAsia="Times New Roman" w:hAnsi="Arial" w:cs="Arial"/>
          <w:b/>
          <w:bCs/>
          <w:sz w:val="22"/>
          <w:szCs w:val="22"/>
          <w:u w:val="single"/>
        </w:rPr>
      </w:pPr>
      <w:r w:rsidRPr="00645049">
        <w:rPr>
          <w:rFonts w:ascii="Arial" w:hAnsi="Arial" w:cs="Arial"/>
          <w:b/>
          <w:bCs/>
          <w:sz w:val="22"/>
          <w:szCs w:val="22"/>
          <w:u w:val="single"/>
        </w:rPr>
        <w:t>Contenu de la formation et validation des acquis</w:t>
      </w:r>
    </w:p>
    <w:p w:rsidR="001556EB" w:rsidRPr="00645049" w:rsidRDefault="001556EB" w:rsidP="000A77CF">
      <w:pPr>
        <w:pStyle w:val="11-texte"/>
        <w:spacing w:before="120" w:beforeAutospacing="0" w:after="0" w:afterAutospacing="0"/>
        <w:jc w:val="both"/>
        <w:rPr>
          <w:rFonts w:ascii="Arial" w:hAnsi="Arial" w:cs="Arial"/>
          <w:sz w:val="22"/>
          <w:szCs w:val="22"/>
        </w:rPr>
      </w:pPr>
      <w:r w:rsidRPr="00645049">
        <w:rPr>
          <w:rFonts w:ascii="Arial" w:hAnsi="Arial" w:cs="Arial"/>
          <w:sz w:val="22"/>
          <w:szCs w:val="22"/>
        </w:rPr>
        <w:t>Les objectifs sont ceux des textes officiels. L’enseignement et la validation des acquis sont interactifs et permanents, puisque l’interne est en relation directe avec les praticiens qui l’encadrent et participe à toute discussion sur l’analyse critique des résultats, la cohérence bio-clinique et les dossiers particuliers, avec l’avantage de disposer au sein même du laboratoire de l’ensemble des données biologiques et de la cytométrie en flux. En particulier, l’interne prend part à la lecture cytologique des myélogrammes et rédige une proposition de conclusion qui est commentée et validée par les cytologistes.</w:t>
      </w:r>
    </w:p>
    <w:p w:rsidR="001556EB" w:rsidRPr="00645049" w:rsidRDefault="001556EB" w:rsidP="000A77CF">
      <w:pPr>
        <w:pStyle w:val="11-texte"/>
        <w:spacing w:before="120" w:beforeAutospacing="0" w:after="0" w:afterAutospacing="0"/>
        <w:jc w:val="both"/>
        <w:rPr>
          <w:rFonts w:ascii="Arial" w:hAnsi="Arial" w:cs="Arial"/>
          <w:sz w:val="22"/>
          <w:szCs w:val="22"/>
        </w:rPr>
      </w:pPr>
      <w:r w:rsidRPr="00645049">
        <w:rPr>
          <w:rFonts w:ascii="Arial" w:hAnsi="Arial" w:cs="Arial"/>
          <w:sz w:val="22"/>
          <w:szCs w:val="22"/>
        </w:rPr>
        <w:t>En outre, des séances de bibliographie sont organisées plusieurs fois par mois à destination de l’ensemble des internes du laboratoire.</w:t>
      </w:r>
    </w:p>
    <w:p w:rsidR="001556EB" w:rsidRPr="00645049" w:rsidRDefault="001556EB" w:rsidP="000A77CF">
      <w:pPr>
        <w:pStyle w:val="11-texte"/>
        <w:spacing w:before="120" w:beforeAutospacing="0" w:after="0" w:afterAutospacing="0"/>
        <w:jc w:val="both"/>
        <w:rPr>
          <w:rFonts w:ascii="Arial" w:hAnsi="Arial" w:cs="Arial"/>
          <w:sz w:val="22"/>
          <w:szCs w:val="22"/>
        </w:rPr>
      </w:pPr>
      <w:r w:rsidRPr="00645049">
        <w:rPr>
          <w:rFonts w:ascii="Arial" w:hAnsi="Arial" w:cs="Arial"/>
          <w:sz w:val="22"/>
          <w:szCs w:val="22"/>
        </w:rPr>
        <w:t xml:space="preserve">L’interne peut prendre part aux activités de recherche biomédicale en hématologie du laboratoire. Plusieurs internes ont par ailleurs déjà eu l’occasion d’effectuer leur mémoire de DES de biologie médicale au sein du laboratoire, ce qui a par la suite donné lieu à la présentation d’abstracts dans les congrès d’hématologie français. </w:t>
      </w:r>
    </w:p>
    <w:p w:rsidR="001556EB" w:rsidRPr="00645049" w:rsidRDefault="001556EB" w:rsidP="000A77CF">
      <w:pPr>
        <w:pStyle w:val="11-texte"/>
        <w:spacing w:before="120" w:beforeAutospacing="0" w:after="0" w:afterAutospacing="0"/>
        <w:jc w:val="both"/>
        <w:rPr>
          <w:rFonts w:ascii="Arial" w:eastAsia="Times New Roman" w:hAnsi="Arial" w:cs="Arial"/>
          <w:sz w:val="22"/>
          <w:szCs w:val="22"/>
        </w:rPr>
      </w:pPr>
      <w:r w:rsidRPr="00645049">
        <w:rPr>
          <w:rFonts w:ascii="Arial" w:hAnsi="Arial" w:cs="Arial"/>
          <w:sz w:val="22"/>
          <w:szCs w:val="22"/>
        </w:rPr>
        <w:t xml:space="preserve">L’interne reçoit une formation aux prélèvements : capacité de prélèvements pour les pharmaciens avec stage dans les services de l’établissement ; participation aux prélèvements dans le cadre des consultations d’hématologie clinique (myélogramme, adénogramme) et d’hémostase. </w:t>
      </w:r>
    </w:p>
    <w:p w:rsidR="001556EB" w:rsidRPr="00645049" w:rsidRDefault="001556EB" w:rsidP="000A77CF">
      <w:pPr>
        <w:pStyle w:val="11-texte"/>
        <w:spacing w:before="120" w:beforeAutospacing="0" w:after="0" w:afterAutospacing="0"/>
        <w:jc w:val="both"/>
        <w:rPr>
          <w:rFonts w:ascii="Arial" w:eastAsia="Times New Roman" w:hAnsi="Arial" w:cs="Arial"/>
          <w:sz w:val="22"/>
          <w:szCs w:val="22"/>
        </w:rPr>
      </w:pPr>
      <w:r w:rsidRPr="00645049">
        <w:rPr>
          <w:rFonts w:ascii="Arial" w:hAnsi="Arial" w:cs="Arial"/>
          <w:sz w:val="22"/>
          <w:szCs w:val="22"/>
        </w:rPr>
        <w:t>Les internes participent au service de garde (polyvalent) du laboratoire où ils sont en relation avec le biologiste senior d’astreinte.</w:t>
      </w:r>
    </w:p>
    <w:p w:rsidR="001556EB" w:rsidRPr="00645049" w:rsidRDefault="001556EB" w:rsidP="000A77CF">
      <w:pPr>
        <w:pStyle w:val="11-texte"/>
        <w:spacing w:before="0" w:beforeAutospacing="0" w:after="0" w:afterAutospacing="0"/>
        <w:rPr>
          <w:rFonts w:ascii="Arial" w:hAnsi="Arial" w:cs="Arial"/>
          <w:b/>
          <w:bCs/>
          <w:caps/>
          <w:sz w:val="22"/>
          <w:szCs w:val="22"/>
        </w:rPr>
      </w:pPr>
    </w:p>
    <w:p w:rsidR="001556EB" w:rsidRPr="00645049" w:rsidRDefault="001556EB" w:rsidP="000A77CF">
      <w:pPr>
        <w:pStyle w:val="11-texte"/>
        <w:spacing w:before="0" w:beforeAutospacing="0" w:after="0" w:afterAutospacing="0"/>
        <w:rPr>
          <w:rFonts w:ascii="Arial" w:hAnsi="Arial" w:cs="Arial"/>
          <w:b/>
          <w:bCs/>
          <w:caps/>
          <w:sz w:val="22"/>
          <w:szCs w:val="22"/>
        </w:rPr>
      </w:pPr>
    </w:p>
    <w:p w:rsidR="001556EB" w:rsidRPr="00645049" w:rsidRDefault="001556EB" w:rsidP="000A77CF">
      <w:pPr>
        <w:pStyle w:val="11-texte"/>
        <w:spacing w:before="0" w:beforeAutospacing="0" w:after="0" w:afterAutospacing="0"/>
        <w:rPr>
          <w:rFonts w:ascii="Arial" w:hAnsi="Arial" w:cs="Arial"/>
          <w:b/>
          <w:bCs/>
          <w:caps/>
          <w:sz w:val="22"/>
          <w:szCs w:val="22"/>
        </w:rPr>
      </w:pPr>
      <w:r w:rsidRPr="00645049">
        <w:rPr>
          <w:rFonts w:ascii="Arial" w:hAnsi="Arial" w:cs="Arial"/>
          <w:b/>
          <w:bCs/>
          <w:caps/>
          <w:sz w:val="22"/>
          <w:szCs w:val="22"/>
        </w:rPr>
        <w:t xml:space="preserve">bactériologie - virologie - hygiène </w:t>
      </w:r>
    </w:p>
    <w:p w:rsidR="001556EB" w:rsidRPr="00645049" w:rsidRDefault="001556EB" w:rsidP="006E7C79">
      <w:pPr>
        <w:numPr>
          <w:ilvl w:val="0"/>
          <w:numId w:val="15"/>
        </w:numPr>
        <w:tabs>
          <w:tab w:val="clear" w:pos="1080"/>
        </w:tabs>
        <w:spacing w:before="240"/>
        <w:ind w:left="180" w:hanging="180"/>
        <w:jc w:val="both"/>
        <w:outlineLvl w:val="0"/>
        <w:rPr>
          <w:rFonts w:ascii="Arial" w:hAnsi="Arial" w:cs="Arial"/>
          <w:sz w:val="22"/>
          <w:szCs w:val="22"/>
        </w:rPr>
      </w:pPr>
      <w:r w:rsidRPr="00645049">
        <w:rPr>
          <w:rFonts w:ascii="Arial" w:hAnsi="Arial" w:cs="Arial"/>
          <w:b/>
          <w:bCs/>
          <w:sz w:val="22"/>
          <w:szCs w:val="22"/>
          <w:u w:val="single"/>
        </w:rPr>
        <w:t>Le laboratoire de bactériologie-virologie-hygiène</w:t>
      </w:r>
      <w:r w:rsidRPr="00645049">
        <w:rPr>
          <w:rFonts w:ascii="Arial" w:hAnsi="Arial" w:cs="Arial"/>
          <w:sz w:val="22"/>
          <w:szCs w:val="22"/>
        </w:rPr>
        <w:t xml:space="preserve"> traite environ 200 dossiers par jour et est partiellement automatisé (automate d’hémocultures BD Bactec FX, automate de cytologie urinaire UF500 de Biomérieux et automate d’identification et d’interprétation des antibiogrammes Dade Walk-away couplé à un système expert SIR). Le service dispose d’un laboratoire de biologie moléculaire. La sérologie infectieuse est réalisée sur automate Beckman Unicel DXI, Vidas Biomérieux, Diasorin Liaison, microplaques ou par immunofluorescence, immunoenzymologie, immunoblotting, agglutination (remplacement des automates Beckman par des automates Siemens programmé au 4e trimestre 2016).</w:t>
      </w:r>
    </w:p>
    <w:p w:rsidR="001556EB" w:rsidRPr="00645049" w:rsidRDefault="001556EB" w:rsidP="006E7C79">
      <w:pPr>
        <w:numPr>
          <w:ilvl w:val="0"/>
          <w:numId w:val="15"/>
        </w:numPr>
        <w:tabs>
          <w:tab w:val="clear" w:pos="1080"/>
        </w:tabs>
        <w:spacing w:before="240"/>
        <w:ind w:left="180" w:hanging="180"/>
        <w:jc w:val="both"/>
        <w:outlineLvl w:val="0"/>
        <w:rPr>
          <w:rFonts w:ascii="Arial" w:hAnsi="Arial" w:cs="Arial"/>
          <w:sz w:val="22"/>
          <w:szCs w:val="22"/>
        </w:rPr>
      </w:pPr>
      <w:r w:rsidRPr="00645049">
        <w:rPr>
          <w:rFonts w:ascii="Arial" w:hAnsi="Arial" w:cs="Arial"/>
          <w:sz w:val="22"/>
          <w:szCs w:val="22"/>
        </w:rPr>
        <w:t>L’interne participe à la réalisation technique des analyses (ECBU, coprocultures, hémocultures, analyses de pus et liquides</w:t>
      </w:r>
      <w:r>
        <w:rPr>
          <w:rFonts w:ascii="Arial" w:hAnsi="Arial" w:cs="Arial"/>
          <w:sz w:val="22"/>
          <w:szCs w:val="22"/>
        </w:rPr>
        <w:t xml:space="preserve"> avec lecture des cytologies</w:t>
      </w:r>
      <w:r w:rsidRPr="00645049">
        <w:rPr>
          <w:rFonts w:ascii="Arial" w:hAnsi="Arial" w:cs="Arial"/>
          <w:sz w:val="22"/>
          <w:szCs w:val="22"/>
        </w:rPr>
        <w:t>, prélèvements d’environnement, prélèvements respiratoires,  recherche de mycobactéries, sérologie de la syphilis, de la rubéole, des infections à CMV, des hépatites, du HIV, des mycoplasmes, des chlamydiae…). Il peut être amené à écrire, modifier, évaluer des procédures et protocoles dans le cadre de l’accréditation COFRAC.</w:t>
      </w:r>
    </w:p>
    <w:p w:rsidR="001556EB" w:rsidRPr="00645049" w:rsidRDefault="001556EB" w:rsidP="006E7C79">
      <w:pPr>
        <w:numPr>
          <w:ilvl w:val="0"/>
          <w:numId w:val="15"/>
        </w:numPr>
        <w:tabs>
          <w:tab w:val="clear" w:pos="1080"/>
        </w:tabs>
        <w:spacing w:before="240"/>
        <w:ind w:left="180" w:hanging="180"/>
        <w:jc w:val="both"/>
        <w:outlineLvl w:val="0"/>
        <w:rPr>
          <w:rFonts w:ascii="Arial" w:hAnsi="Arial" w:cs="Arial"/>
          <w:sz w:val="22"/>
          <w:szCs w:val="22"/>
        </w:rPr>
      </w:pPr>
      <w:r w:rsidRPr="00645049">
        <w:rPr>
          <w:rFonts w:ascii="Arial" w:hAnsi="Arial" w:cs="Arial"/>
          <w:sz w:val="22"/>
          <w:szCs w:val="22"/>
        </w:rPr>
        <w:t xml:space="preserve">L’interne participe à l’interprétation des résultats et en discute avec les praticiens responsables du secteur concerné. Il participe avec les biologistes seniors à l'analyse des cas cliniques et à leur expertise lorsque cette dernière est sollicitée par les cliniciens. </w:t>
      </w:r>
    </w:p>
    <w:p w:rsidR="001556EB" w:rsidRPr="00645049" w:rsidRDefault="001556EB" w:rsidP="006E7C79">
      <w:pPr>
        <w:numPr>
          <w:ilvl w:val="0"/>
          <w:numId w:val="15"/>
        </w:numPr>
        <w:tabs>
          <w:tab w:val="clear" w:pos="1080"/>
        </w:tabs>
        <w:spacing w:before="240"/>
        <w:ind w:left="180" w:hanging="180"/>
        <w:jc w:val="both"/>
        <w:outlineLvl w:val="0"/>
        <w:rPr>
          <w:rFonts w:ascii="Arial" w:hAnsi="Arial" w:cs="Arial"/>
          <w:sz w:val="22"/>
          <w:szCs w:val="22"/>
        </w:rPr>
      </w:pPr>
      <w:r w:rsidRPr="00645049">
        <w:rPr>
          <w:rFonts w:ascii="Arial" w:hAnsi="Arial" w:cs="Arial"/>
          <w:sz w:val="22"/>
          <w:szCs w:val="22"/>
        </w:rPr>
        <w:t>S’il le souhaite, l’interne peut participer à l’analyse et à l’interprétation des résultats en parasitologie (parasitologie des selles et recherche de parasites sanguicoles principalement) et de mycologie (recherche et identification de levures, champignons filamenteux et dermatophytes).</w:t>
      </w:r>
    </w:p>
    <w:p w:rsidR="001556EB" w:rsidRPr="00645049" w:rsidRDefault="001556EB" w:rsidP="006E7C79">
      <w:pPr>
        <w:numPr>
          <w:ilvl w:val="0"/>
          <w:numId w:val="15"/>
        </w:numPr>
        <w:tabs>
          <w:tab w:val="clear" w:pos="1080"/>
        </w:tabs>
        <w:spacing w:before="240"/>
        <w:ind w:left="180" w:hanging="180"/>
        <w:jc w:val="both"/>
        <w:outlineLvl w:val="0"/>
        <w:rPr>
          <w:rFonts w:ascii="Arial" w:hAnsi="Arial" w:cs="Arial"/>
          <w:sz w:val="22"/>
          <w:szCs w:val="22"/>
        </w:rPr>
      </w:pPr>
      <w:r w:rsidRPr="00645049">
        <w:rPr>
          <w:rFonts w:ascii="Arial" w:hAnsi="Arial" w:cs="Arial"/>
          <w:sz w:val="22"/>
          <w:szCs w:val="22"/>
        </w:rPr>
        <w:t>L’interne est encouragé à suivre le cycle de conférences mensuelles organisées au CHRU par le Pr SIMONET.</w:t>
      </w:r>
    </w:p>
    <w:p w:rsidR="001556EB" w:rsidRPr="00645049" w:rsidRDefault="001556EB" w:rsidP="006E7C79">
      <w:pPr>
        <w:numPr>
          <w:ilvl w:val="0"/>
          <w:numId w:val="15"/>
        </w:numPr>
        <w:tabs>
          <w:tab w:val="clear" w:pos="1080"/>
        </w:tabs>
        <w:spacing w:before="240"/>
        <w:ind w:left="180" w:hanging="180"/>
        <w:jc w:val="both"/>
        <w:outlineLvl w:val="0"/>
        <w:rPr>
          <w:rFonts w:ascii="Arial" w:hAnsi="Arial" w:cs="Arial"/>
          <w:sz w:val="22"/>
          <w:szCs w:val="22"/>
        </w:rPr>
      </w:pPr>
      <w:r w:rsidRPr="00645049">
        <w:rPr>
          <w:rFonts w:ascii="Arial" w:hAnsi="Arial" w:cs="Arial"/>
          <w:sz w:val="22"/>
          <w:szCs w:val="22"/>
        </w:rPr>
        <w:t xml:space="preserve">L’interne peut suivre les cours de bactériologie-virologie-hygiène (fondamentale et systématique) dispensés à la FMM. L’interne présent en avril participe par ailleurs à l’encadrement des travaux pratiques de microbiologie des étudiants en 3e année de médecine (1 semaine à temps plein). </w:t>
      </w:r>
    </w:p>
    <w:p w:rsidR="001556EB" w:rsidRPr="00645049" w:rsidRDefault="001556EB" w:rsidP="006E7C79">
      <w:pPr>
        <w:numPr>
          <w:ilvl w:val="0"/>
          <w:numId w:val="15"/>
        </w:numPr>
        <w:tabs>
          <w:tab w:val="clear" w:pos="1080"/>
        </w:tabs>
        <w:spacing w:before="240"/>
        <w:ind w:left="180" w:hanging="180"/>
        <w:jc w:val="both"/>
        <w:outlineLvl w:val="0"/>
        <w:rPr>
          <w:rFonts w:ascii="Arial" w:hAnsi="Arial" w:cs="Arial"/>
          <w:sz w:val="22"/>
          <w:szCs w:val="22"/>
        </w:rPr>
      </w:pPr>
      <w:r w:rsidRPr="00645049">
        <w:rPr>
          <w:rFonts w:ascii="Arial" w:hAnsi="Arial" w:cs="Arial"/>
          <w:sz w:val="22"/>
          <w:szCs w:val="22"/>
        </w:rPr>
        <w:t xml:space="preserve">L’interne dispose d’un libre accès à la bibliothèque du service et peut y consulter sur place des ouvrages de référence (ouvrages dont la consultation est plus particulièrement recommandée : Freney et ses mises à jours annuelles, Virologie médicale de JM Huraux, REMIC et REVIR) et des revues francophones à visée microbiologique (Médecine et maladies infectieuses, La lettre de l’infectiologue, Antibiotiques, Virologie, HygièneS, Mycologie médicale) ou polyvalentes (Médecine et Thérapeutique, Feuillets de biologie, Annales de Biologie Clinique). Les internes ont accès, dans la bibliothèque, à deux PC équipés d’une connexion Internet. </w:t>
      </w:r>
    </w:p>
    <w:p w:rsidR="001556EB" w:rsidRPr="00645049" w:rsidRDefault="001556EB" w:rsidP="006E7C79">
      <w:pPr>
        <w:numPr>
          <w:ilvl w:val="0"/>
          <w:numId w:val="15"/>
        </w:numPr>
        <w:tabs>
          <w:tab w:val="clear" w:pos="1080"/>
        </w:tabs>
        <w:spacing w:before="240"/>
        <w:ind w:left="180" w:hanging="180"/>
        <w:jc w:val="both"/>
        <w:outlineLvl w:val="0"/>
        <w:rPr>
          <w:rFonts w:ascii="Arial" w:hAnsi="Arial" w:cs="Arial"/>
          <w:sz w:val="22"/>
          <w:szCs w:val="22"/>
        </w:rPr>
      </w:pPr>
      <w:r w:rsidRPr="00645049">
        <w:rPr>
          <w:rFonts w:ascii="Arial" w:hAnsi="Arial" w:cs="Arial"/>
          <w:sz w:val="22"/>
          <w:szCs w:val="22"/>
        </w:rPr>
        <w:t>Au sein du laboratoire, l’interne est invité à participer aux séances de bibliographie animées par un biologiste senior à l’intention de tous les externes et internes du service. Il est également invité à suivre les réunions de formations, colloques et séminaires organisés à la FMM ou à l’hôpital. Il participe aux études bio-cliniques du laboratoire et à l’écriture d’articles et doit au cours de son semestre faire au moins une présentation orale au personnel du laboratoire (techniciens, externes et internes, biologistes) sur un thème choisi en concertation avec les biologistes seniors.</w:t>
      </w:r>
    </w:p>
    <w:p w:rsidR="001556EB" w:rsidRPr="00645049" w:rsidRDefault="001556EB" w:rsidP="006E7C79">
      <w:pPr>
        <w:numPr>
          <w:ilvl w:val="0"/>
          <w:numId w:val="15"/>
        </w:numPr>
        <w:tabs>
          <w:tab w:val="clear" w:pos="1080"/>
        </w:tabs>
        <w:spacing w:before="240"/>
        <w:ind w:left="180" w:hanging="180"/>
        <w:jc w:val="both"/>
        <w:outlineLvl w:val="0"/>
        <w:rPr>
          <w:rFonts w:ascii="Arial" w:hAnsi="Arial" w:cs="Arial"/>
          <w:sz w:val="22"/>
          <w:szCs w:val="22"/>
        </w:rPr>
      </w:pPr>
      <w:r w:rsidRPr="00645049">
        <w:rPr>
          <w:rFonts w:ascii="Arial" w:hAnsi="Arial" w:cs="Arial"/>
          <w:sz w:val="22"/>
          <w:szCs w:val="22"/>
        </w:rPr>
        <w:t>L’interne prend en charge l’enquête « BMR » pilotée par le CCLIN et sous la responsabilité du microbiologiste senior membre du CLIN. Il est invité aux réunions du CLIN de l’établissement ainsi qu’aux réunions du Comité d’antibiothérapie.</w:t>
      </w:r>
    </w:p>
    <w:p w:rsidR="001556EB" w:rsidRPr="00645049" w:rsidRDefault="001556EB" w:rsidP="00F449D0">
      <w:pPr>
        <w:pStyle w:val="11-texte"/>
        <w:spacing w:before="0" w:beforeAutospacing="0" w:after="0" w:afterAutospacing="0"/>
        <w:jc w:val="center"/>
        <w:rPr>
          <w:rFonts w:ascii="Times New Roman" w:hAnsi="Times New Roman" w:cs="Times New Roman"/>
          <w:b/>
          <w:bCs/>
          <w:caps/>
        </w:rPr>
      </w:pPr>
    </w:p>
    <w:p w:rsidR="001556EB" w:rsidRPr="00645049" w:rsidRDefault="001556EB" w:rsidP="00D61950">
      <w:pPr>
        <w:autoSpaceDE w:val="0"/>
        <w:autoSpaceDN w:val="0"/>
        <w:adjustRightInd w:val="0"/>
        <w:jc w:val="both"/>
        <w:rPr>
          <w:rFonts w:ascii="Arial" w:hAnsi="Arial" w:cs="Arial"/>
          <w:b/>
          <w:bCs/>
          <w:sz w:val="22"/>
          <w:szCs w:val="22"/>
        </w:rPr>
      </w:pPr>
    </w:p>
    <w:p w:rsidR="001556EB" w:rsidRPr="00645049" w:rsidRDefault="001556EB" w:rsidP="00D61950">
      <w:pPr>
        <w:autoSpaceDE w:val="0"/>
        <w:autoSpaceDN w:val="0"/>
        <w:adjustRightInd w:val="0"/>
        <w:jc w:val="both"/>
        <w:rPr>
          <w:rFonts w:ascii="Arial" w:hAnsi="Arial" w:cs="Arial"/>
          <w:b/>
          <w:bCs/>
          <w:sz w:val="22"/>
          <w:szCs w:val="22"/>
        </w:rPr>
      </w:pPr>
      <w:r w:rsidRPr="00645049">
        <w:rPr>
          <w:rFonts w:ascii="Arial" w:hAnsi="Arial" w:cs="Arial"/>
          <w:b/>
          <w:bCs/>
          <w:sz w:val="22"/>
          <w:szCs w:val="22"/>
        </w:rPr>
        <w:t>Acquisitions en fin de semestre :</w:t>
      </w:r>
    </w:p>
    <w:p w:rsidR="001556EB" w:rsidRPr="00645049" w:rsidRDefault="001556EB" w:rsidP="0025606D">
      <w:pPr>
        <w:jc w:val="both"/>
        <w:rPr>
          <w:rFonts w:ascii="Arial" w:hAnsi="Arial" w:cs="Arial"/>
          <w:sz w:val="22"/>
          <w:szCs w:val="22"/>
        </w:rPr>
      </w:pPr>
      <w:r w:rsidRPr="00645049">
        <w:rPr>
          <w:rFonts w:ascii="Arial" w:hAnsi="Arial" w:cs="Arial"/>
          <w:sz w:val="22"/>
          <w:szCs w:val="22"/>
        </w:rPr>
        <w:t xml:space="preserve">Pour l’ensemble des disciplines du laboratoire, et conformément aux dispositions de l’arrêté </w:t>
      </w:r>
      <w:r w:rsidRPr="00645049">
        <w:rPr>
          <w:rStyle w:val="ref11"/>
          <w:rFonts w:ascii="Arial" w:hAnsi="Arial" w:cs="Arial"/>
          <w:sz w:val="22"/>
          <w:szCs w:val="22"/>
        </w:rPr>
        <w:t xml:space="preserve">du 13/4/06 </w:t>
      </w:r>
      <w:r w:rsidRPr="00645049">
        <w:rPr>
          <w:rFonts w:ascii="Arial" w:hAnsi="Arial" w:cs="Arial"/>
          <w:sz w:val="22"/>
          <w:szCs w:val="22"/>
        </w:rPr>
        <w:t xml:space="preserve">publié au </w:t>
      </w:r>
      <w:r w:rsidRPr="00645049">
        <w:rPr>
          <w:rStyle w:val="ref11"/>
          <w:rFonts w:ascii="Arial" w:hAnsi="Arial" w:cs="Arial"/>
          <w:sz w:val="22"/>
          <w:szCs w:val="22"/>
        </w:rPr>
        <w:t>JO du 26/4/06</w:t>
      </w:r>
      <w:r w:rsidRPr="00645049">
        <w:rPr>
          <w:rStyle w:val="ref11"/>
          <w:rFonts w:ascii="Times New Roman" w:hAnsi="Times New Roman"/>
          <w:sz w:val="24"/>
          <w:szCs w:val="24"/>
        </w:rPr>
        <w:t xml:space="preserve"> </w:t>
      </w:r>
      <w:r w:rsidRPr="00645049">
        <w:rPr>
          <w:rStyle w:val="ref11"/>
          <w:rFonts w:ascii="Arial" w:hAnsi="Arial" w:cs="Arial"/>
          <w:sz w:val="22"/>
          <w:szCs w:val="22"/>
        </w:rPr>
        <w:t>définissant les « </w:t>
      </w:r>
      <w:r w:rsidRPr="00645049">
        <w:rPr>
          <w:rFonts w:ascii="Arial" w:hAnsi="Arial" w:cs="Arial"/>
          <w:i/>
          <w:iCs/>
          <w:sz w:val="22"/>
          <w:szCs w:val="22"/>
        </w:rPr>
        <w:t>Les objectifs pédagogiques du diplôme d’études spécialisées de biologie médicale</w:t>
      </w:r>
      <w:r w:rsidRPr="00645049">
        <w:rPr>
          <w:rFonts w:ascii="Arial" w:hAnsi="Arial" w:cs="Arial"/>
          <w:sz w:val="22"/>
          <w:szCs w:val="22"/>
        </w:rPr>
        <w:t> », le stage est organisé pour que l’interne :</w:t>
      </w:r>
    </w:p>
    <w:p w:rsidR="001556EB" w:rsidRPr="00645049" w:rsidRDefault="001556EB" w:rsidP="0025606D">
      <w:pPr>
        <w:jc w:val="both"/>
        <w:rPr>
          <w:rFonts w:ascii="Arial" w:hAnsi="Arial" w:cs="Arial"/>
          <w:sz w:val="22"/>
          <w:szCs w:val="22"/>
        </w:rPr>
      </w:pPr>
      <w:r w:rsidRPr="00645049">
        <w:rPr>
          <w:rFonts w:ascii="Arial" w:hAnsi="Arial" w:cs="Arial"/>
          <w:sz w:val="22"/>
          <w:szCs w:val="22"/>
        </w:rPr>
        <w:t xml:space="preserve">- participe à la politique qualité du laboratoire </w:t>
      </w:r>
    </w:p>
    <w:p w:rsidR="001556EB" w:rsidRPr="00645049" w:rsidRDefault="001556EB" w:rsidP="0025606D">
      <w:pPr>
        <w:jc w:val="both"/>
        <w:rPr>
          <w:rFonts w:ascii="Arial" w:hAnsi="Arial" w:cs="Arial"/>
          <w:sz w:val="22"/>
          <w:szCs w:val="22"/>
        </w:rPr>
      </w:pPr>
      <w:r w:rsidRPr="00645049">
        <w:rPr>
          <w:rFonts w:ascii="Arial" w:hAnsi="Arial" w:cs="Arial"/>
          <w:sz w:val="22"/>
          <w:szCs w:val="22"/>
        </w:rPr>
        <w:t>- connaisse les indications cliniques des prélèvements biologiques</w:t>
      </w:r>
    </w:p>
    <w:p w:rsidR="001556EB" w:rsidRPr="00645049" w:rsidRDefault="001556EB" w:rsidP="0025606D">
      <w:pPr>
        <w:jc w:val="both"/>
        <w:rPr>
          <w:rFonts w:ascii="Arial" w:hAnsi="Arial" w:cs="Arial"/>
          <w:sz w:val="22"/>
          <w:szCs w:val="22"/>
        </w:rPr>
      </w:pPr>
      <w:r w:rsidRPr="00645049">
        <w:rPr>
          <w:rFonts w:ascii="Arial" w:hAnsi="Arial" w:cs="Arial"/>
          <w:sz w:val="22"/>
          <w:szCs w:val="22"/>
        </w:rPr>
        <w:t xml:space="preserve">- connaisse les conditions de prélèvement et de leur conservation </w:t>
      </w:r>
    </w:p>
    <w:p w:rsidR="001556EB" w:rsidRPr="00645049" w:rsidRDefault="001556EB" w:rsidP="0025606D">
      <w:pPr>
        <w:jc w:val="both"/>
        <w:rPr>
          <w:rFonts w:ascii="Arial" w:hAnsi="Arial" w:cs="Arial"/>
          <w:sz w:val="22"/>
          <w:szCs w:val="22"/>
        </w:rPr>
      </w:pPr>
      <w:r w:rsidRPr="00645049">
        <w:rPr>
          <w:rFonts w:ascii="Arial" w:hAnsi="Arial" w:cs="Arial"/>
          <w:sz w:val="22"/>
          <w:szCs w:val="22"/>
        </w:rPr>
        <w:t>- connaisse les conditions d’utilisation des différents milieux biologiques</w:t>
      </w:r>
    </w:p>
    <w:p w:rsidR="001556EB" w:rsidRPr="00645049" w:rsidRDefault="001556EB" w:rsidP="0025606D">
      <w:pPr>
        <w:jc w:val="both"/>
        <w:rPr>
          <w:rFonts w:ascii="Arial" w:hAnsi="Arial" w:cs="Arial"/>
          <w:sz w:val="22"/>
          <w:szCs w:val="22"/>
        </w:rPr>
      </w:pPr>
      <w:r w:rsidRPr="00645049">
        <w:rPr>
          <w:rFonts w:ascii="Arial" w:hAnsi="Arial" w:cs="Arial"/>
          <w:sz w:val="22"/>
          <w:szCs w:val="22"/>
        </w:rPr>
        <w:t xml:space="preserve">- connaisse la pratique des techniques et les principes de base des appareillages </w:t>
      </w:r>
    </w:p>
    <w:p w:rsidR="001556EB" w:rsidRPr="00645049" w:rsidRDefault="001556EB" w:rsidP="0025606D">
      <w:pPr>
        <w:jc w:val="both"/>
        <w:rPr>
          <w:rFonts w:ascii="Arial" w:hAnsi="Arial" w:cs="Arial"/>
          <w:sz w:val="22"/>
          <w:szCs w:val="22"/>
        </w:rPr>
      </w:pPr>
      <w:r w:rsidRPr="00645049">
        <w:rPr>
          <w:rFonts w:ascii="Arial" w:hAnsi="Arial" w:cs="Arial"/>
          <w:sz w:val="22"/>
          <w:szCs w:val="22"/>
        </w:rPr>
        <w:t>- participe à la réalisation des analyses et à la validation technique</w:t>
      </w:r>
    </w:p>
    <w:p w:rsidR="001556EB" w:rsidRPr="00645049" w:rsidRDefault="001556EB" w:rsidP="0025606D">
      <w:pPr>
        <w:jc w:val="both"/>
        <w:rPr>
          <w:rFonts w:ascii="Arial" w:hAnsi="Arial" w:cs="Arial"/>
          <w:sz w:val="22"/>
          <w:szCs w:val="22"/>
        </w:rPr>
      </w:pPr>
      <w:r w:rsidRPr="00645049">
        <w:rPr>
          <w:rFonts w:ascii="Arial" w:hAnsi="Arial" w:cs="Arial"/>
          <w:sz w:val="22"/>
          <w:szCs w:val="22"/>
        </w:rPr>
        <w:t xml:space="preserve">- puisse gérer les contrôles de qualité interne et externe </w:t>
      </w:r>
    </w:p>
    <w:p w:rsidR="001556EB" w:rsidRPr="00645049" w:rsidRDefault="001556EB" w:rsidP="0025606D">
      <w:pPr>
        <w:jc w:val="both"/>
        <w:rPr>
          <w:rFonts w:ascii="Arial" w:hAnsi="Arial" w:cs="Arial"/>
          <w:sz w:val="22"/>
          <w:szCs w:val="22"/>
        </w:rPr>
      </w:pPr>
      <w:r w:rsidRPr="00645049">
        <w:rPr>
          <w:rFonts w:ascii="Arial" w:hAnsi="Arial" w:cs="Arial"/>
          <w:sz w:val="22"/>
          <w:szCs w:val="22"/>
        </w:rPr>
        <w:t>- participe à la garde de biologie</w:t>
      </w:r>
    </w:p>
    <w:p w:rsidR="001556EB" w:rsidRPr="00645049" w:rsidRDefault="001556EB" w:rsidP="0025606D">
      <w:pPr>
        <w:jc w:val="both"/>
        <w:rPr>
          <w:rFonts w:ascii="Arial" w:hAnsi="Arial" w:cs="Arial"/>
          <w:sz w:val="22"/>
          <w:szCs w:val="22"/>
        </w:rPr>
      </w:pPr>
      <w:r w:rsidRPr="00645049">
        <w:rPr>
          <w:rFonts w:ascii="Arial" w:hAnsi="Arial" w:cs="Arial"/>
          <w:sz w:val="22"/>
          <w:szCs w:val="22"/>
        </w:rPr>
        <w:t>- sache maîtriser le degré d’urgence d’une demande d’analyses biologiques</w:t>
      </w:r>
    </w:p>
    <w:p w:rsidR="001556EB" w:rsidRPr="00645049" w:rsidRDefault="001556EB" w:rsidP="0025606D">
      <w:pPr>
        <w:jc w:val="both"/>
        <w:rPr>
          <w:rFonts w:ascii="Arial" w:hAnsi="Arial" w:cs="Arial"/>
          <w:sz w:val="22"/>
          <w:szCs w:val="22"/>
        </w:rPr>
      </w:pPr>
      <w:r w:rsidRPr="00645049">
        <w:rPr>
          <w:rFonts w:ascii="Arial" w:hAnsi="Arial" w:cs="Arial"/>
          <w:sz w:val="22"/>
          <w:szCs w:val="22"/>
        </w:rPr>
        <w:t xml:space="preserve">- connaisse les conséquences des délais de réponse sur les prises de décision médicale  </w:t>
      </w:r>
      <w:r w:rsidRPr="00645049">
        <w:rPr>
          <w:rFonts w:ascii="Arial" w:hAnsi="Arial" w:cs="Arial"/>
          <w:sz w:val="22"/>
          <w:szCs w:val="22"/>
        </w:rPr>
        <w:br/>
        <w:t>- connaisse les éléments de statistique indispensables à l’exercice de la profession</w:t>
      </w:r>
      <w:r w:rsidRPr="00645049">
        <w:rPr>
          <w:rFonts w:ascii="Arial" w:hAnsi="Arial" w:cs="Arial"/>
          <w:sz w:val="22"/>
          <w:szCs w:val="22"/>
        </w:rPr>
        <w:br/>
        <w:t xml:space="preserve">- soit capable de réaliser les prélèvements </w:t>
      </w:r>
    </w:p>
    <w:p w:rsidR="001556EB" w:rsidRPr="00645049" w:rsidRDefault="001556EB" w:rsidP="00D61950">
      <w:pPr>
        <w:jc w:val="both"/>
        <w:rPr>
          <w:sz w:val="22"/>
          <w:szCs w:val="22"/>
        </w:rPr>
      </w:pPr>
    </w:p>
    <w:p w:rsidR="001556EB" w:rsidRPr="00645049" w:rsidRDefault="001556EB" w:rsidP="00D61950">
      <w:pPr>
        <w:autoSpaceDE w:val="0"/>
        <w:autoSpaceDN w:val="0"/>
        <w:adjustRightInd w:val="0"/>
        <w:jc w:val="both"/>
        <w:rPr>
          <w:rFonts w:ascii="Arial" w:hAnsi="Arial" w:cs="Arial"/>
          <w:b/>
          <w:bCs/>
          <w:sz w:val="22"/>
          <w:szCs w:val="22"/>
        </w:rPr>
      </w:pPr>
      <w:r w:rsidRPr="00645049">
        <w:rPr>
          <w:rFonts w:ascii="Arial" w:hAnsi="Arial" w:cs="Arial"/>
          <w:b/>
          <w:bCs/>
          <w:sz w:val="22"/>
          <w:szCs w:val="22"/>
        </w:rPr>
        <w:t>Personne pouvant être contactée pour plus d’informations / Autres commentaires</w:t>
      </w:r>
      <w:bookmarkStart w:id="0" w:name="_GoBack"/>
      <w:bookmarkEnd w:id="0"/>
      <w:r w:rsidRPr="00645049">
        <w:rPr>
          <w:rFonts w:ascii="Arial" w:hAnsi="Arial" w:cs="Arial"/>
          <w:b/>
          <w:bCs/>
          <w:sz w:val="22"/>
          <w:szCs w:val="22"/>
        </w:rPr>
        <w:t xml:space="preserve"> : </w:t>
      </w:r>
    </w:p>
    <w:p w:rsidR="001556EB" w:rsidRPr="00645049" w:rsidRDefault="001556EB" w:rsidP="00D61950">
      <w:pPr>
        <w:autoSpaceDE w:val="0"/>
        <w:autoSpaceDN w:val="0"/>
        <w:adjustRightInd w:val="0"/>
        <w:jc w:val="both"/>
        <w:rPr>
          <w:rFonts w:ascii="Arial" w:hAnsi="Arial" w:cs="Arial"/>
          <w:sz w:val="22"/>
          <w:szCs w:val="22"/>
        </w:rPr>
      </w:pPr>
      <w:r w:rsidRPr="00645049">
        <w:rPr>
          <w:rFonts w:ascii="Arial" w:hAnsi="Arial" w:cs="Arial"/>
          <w:sz w:val="22"/>
          <w:szCs w:val="22"/>
        </w:rPr>
        <w:t>Pr Gérard Forzy (Biochimie)</w:t>
      </w:r>
      <w:r w:rsidRPr="00645049">
        <w:rPr>
          <w:rFonts w:ascii="Arial" w:hAnsi="Arial" w:cs="Arial"/>
          <w:sz w:val="22"/>
          <w:szCs w:val="22"/>
        </w:rPr>
        <w:tab/>
      </w:r>
      <w:r w:rsidRPr="00645049">
        <w:rPr>
          <w:rFonts w:ascii="Arial" w:hAnsi="Arial" w:cs="Arial"/>
          <w:sz w:val="22"/>
          <w:szCs w:val="22"/>
        </w:rPr>
        <w:tab/>
      </w:r>
      <w:r w:rsidRPr="00645049">
        <w:rPr>
          <w:rFonts w:ascii="Arial" w:hAnsi="Arial" w:cs="Arial"/>
          <w:sz w:val="22"/>
          <w:szCs w:val="22"/>
        </w:rPr>
        <w:tab/>
        <w:t>03 20 22 50 12</w:t>
      </w:r>
    </w:p>
    <w:p w:rsidR="001556EB" w:rsidRPr="00645049" w:rsidRDefault="001556EB" w:rsidP="00D61950">
      <w:pPr>
        <w:autoSpaceDE w:val="0"/>
        <w:autoSpaceDN w:val="0"/>
        <w:adjustRightInd w:val="0"/>
        <w:jc w:val="both"/>
        <w:rPr>
          <w:rFonts w:ascii="Arial" w:hAnsi="Arial" w:cs="Arial"/>
          <w:sz w:val="22"/>
          <w:szCs w:val="22"/>
        </w:rPr>
      </w:pPr>
      <w:r w:rsidRPr="00645049">
        <w:rPr>
          <w:rFonts w:ascii="Arial" w:hAnsi="Arial" w:cs="Arial"/>
          <w:sz w:val="22"/>
          <w:szCs w:val="22"/>
        </w:rPr>
        <w:t>Pr Agnès Charpentier (Hématologie)</w:t>
      </w:r>
      <w:r w:rsidRPr="00645049">
        <w:rPr>
          <w:rFonts w:ascii="Arial" w:hAnsi="Arial" w:cs="Arial"/>
          <w:sz w:val="22"/>
          <w:szCs w:val="22"/>
        </w:rPr>
        <w:tab/>
        <w:t>03 20 22 45 03</w:t>
      </w:r>
    </w:p>
    <w:p w:rsidR="001556EB" w:rsidRPr="00645049" w:rsidRDefault="001556EB" w:rsidP="00D61950">
      <w:pPr>
        <w:autoSpaceDE w:val="0"/>
        <w:autoSpaceDN w:val="0"/>
        <w:adjustRightInd w:val="0"/>
        <w:jc w:val="both"/>
        <w:rPr>
          <w:rFonts w:ascii="Arial" w:hAnsi="Arial" w:cs="Arial"/>
          <w:sz w:val="22"/>
          <w:szCs w:val="22"/>
        </w:rPr>
      </w:pPr>
      <w:r w:rsidRPr="00645049">
        <w:rPr>
          <w:rFonts w:ascii="Arial" w:hAnsi="Arial" w:cs="Arial"/>
          <w:sz w:val="22"/>
          <w:szCs w:val="22"/>
        </w:rPr>
        <w:t>Pr Anne Decoster (Microbiologie)</w:t>
      </w:r>
      <w:r w:rsidRPr="00645049">
        <w:rPr>
          <w:rFonts w:ascii="Arial" w:hAnsi="Arial" w:cs="Arial"/>
          <w:sz w:val="22"/>
          <w:szCs w:val="22"/>
        </w:rPr>
        <w:tab/>
      </w:r>
      <w:r w:rsidRPr="00645049">
        <w:rPr>
          <w:rFonts w:ascii="Arial" w:hAnsi="Arial" w:cs="Arial"/>
          <w:sz w:val="22"/>
          <w:szCs w:val="22"/>
        </w:rPr>
        <w:tab/>
        <w:t>03 20 22 50 09</w:t>
      </w:r>
    </w:p>
    <w:p w:rsidR="001556EB" w:rsidRPr="00645049" w:rsidRDefault="001556EB" w:rsidP="00D61950">
      <w:pPr>
        <w:autoSpaceDE w:val="0"/>
        <w:autoSpaceDN w:val="0"/>
        <w:adjustRightInd w:val="0"/>
        <w:jc w:val="both"/>
        <w:rPr>
          <w:rFonts w:ascii="Arial" w:hAnsi="Arial" w:cs="Arial"/>
          <w:sz w:val="22"/>
          <w:szCs w:val="22"/>
        </w:rPr>
      </w:pPr>
    </w:p>
    <w:p w:rsidR="001556EB" w:rsidRPr="00645049" w:rsidRDefault="001556EB" w:rsidP="00D61950">
      <w:pPr>
        <w:autoSpaceDE w:val="0"/>
        <w:autoSpaceDN w:val="0"/>
        <w:adjustRightInd w:val="0"/>
        <w:jc w:val="both"/>
        <w:rPr>
          <w:rFonts w:ascii="Arial" w:hAnsi="Arial" w:cs="Arial"/>
          <w:sz w:val="22"/>
          <w:szCs w:val="22"/>
        </w:rPr>
      </w:pPr>
    </w:p>
    <w:p w:rsidR="001556EB" w:rsidRPr="00645049" w:rsidRDefault="001556EB" w:rsidP="00D61950">
      <w:pPr>
        <w:autoSpaceDE w:val="0"/>
        <w:autoSpaceDN w:val="0"/>
        <w:adjustRightInd w:val="0"/>
        <w:jc w:val="both"/>
        <w:rPr>
          <w:rFonts w:ascii="Arial" w:hAnsi="Arial" w:cs="Arial"/>
          <w:sz w:val="22"/>
          <w:szCs w:val="22"/>
        </w:rPr>
      </w:pPr>
    </w:p>
    <w:p w:rsidR="001556EB" w:rsidRPr="00645049" w:rsidRDefault="001556EB" w:rsidP="00D61950">
      <w:pPr>
        <w:autoSpaceDE w:val="0"/>
        <w:autoSpaceDN w:val="0"/>
        <w:adjustRightInd w:val="0"/>
        <w:jc w:val="both"/>
        <w:rPr>
          <w:rFonts w:ascii="Arial" w:hAnsi="Arial" w:cs="Arial"/>
          <w:sz w:val="22"/>
          <w:szCs w:val="22"/>
        </w:rPr>
      </w:pPr>
    </w:p>
    <w:p w:rsidR="001556EB" w:rsidRPr="00645049" w:rsidRDefault="001556EB" w:rsidP="00D61950">
      <w:pPr>
        <w:autoSpaceDE w:val="0"/>
        <w:autoSpaceDN w:val="0"/>
        <w:adjustRightInd w:val="0"/>
        <w:jc w:val="both"/>
        <w:rPr>
          <w:rFonts w:ascii="Arial" w:hAnsi="Arial" w:cs="Arial"/>
          <w:sz w:val="22"/>
          <w:szCs w:val="22"/>
        </w:rPr>
      </w:pPr>
    </w:p>
    <w:p w:rsidR="001556EB" w:rsidRPr="00645049" w:rsidRDefault="001556EB" w:rsidP="00D61950">
      <w:pPr>
        <w:autoSpaceDE w:val="0"/>
        <w:autoSpaceDN w:val="0"/>
        <w:adjustRightInd w:val="0"/>
        <w:jc w:val="both"/>
        <w:rPr>
          <w:rFonts w:ascii="Arial" w:hAnsi="Arial" w:cs="Arial"/>
          <w:sz w:val="22"/>
          <w:szCs w:val="22"/>
        </w:rPr>
      </w:pPr>
    </w:p>
    <w:p w:rsidR="001556EB" w:rsidRPr="00645049" w:rsidRDefault="001556EB" w:rsidP="00F449D0">
      <w:pPr>
        <w:jc w:val="both"/>
      </w:pPr>
      <w:r w:rsidRPr="00645049">
        <w:rPr>
          <w:b/>
          <w:bCs/>
          <w:caps/>
        </w:rPr>
        <w:br w:type="page"/>
      </w:r>
    </w:p>
    <w:p w:rsidR="001556EB" w:rsidRPr="00645049" w:rsidRDefault="001556EB" w:rsidP="00F449D0">
      <w:pPr>
        <w:pBdr>
          <w:bottom w:val="single" w:sz="6" w:space="1" w:color="auto"/>
        </w:pBdr>
      </w:pPr>
    </w:p>
    <w:p w:rsidR="001556EB" w:rsidRPr="00645049" w:rsidRDefault="001556EB" w:rsidP="00F449D0"/>
    <w:p w:rsidR="001556EB" w:rsidRPr="00645049" w:rsidRDefault="001556EB" w:rsidP="00F449D0">
      <w:pPr>
        <w:pStyle w:val="11-texte"/>
        <w:spacing w:before="120" w:beforeAutospacing="0" w:after="0" w:afterAutospacing="0"/>
        <w:jc w:val="both"/>
        <w:rPr>
          <w:rFonts w:ascii="Times New Roman" w:eastAsia="Times New Roman" w:hAnsi="Times New Roman" w:cs="Times New Roman"/>
          <w:b/>
          <w:bCs/>
          <w:sz w:val="24"/>
          <w:szCs w:val="24"/>
          <w:u w:val="single"/>
        </w:rPr>
      </w:pPr>
      <w:r w:rsidRPr="00645049">
        <w:rPr>
          <w:rFonts w:ascii="Times New Roman" w:eastAsia="Times New Roman" w:hAnsi="Times New Roman" w:cs="Times New Roman"/>
          <w:b/>
          <w:bCs/>
          <w:sz w:val="24"/>
          <w:szCs w:val="24"/>
          <w:u w:val="single"/>
        </w:rPr>
        <w:t>Contenu de la formation et validation des acquis</w:t>
      </w:r>
    </w:p>
    <w:p w:rsidR="001556EB" w:rsidRPr="00645049" w:rsidRDefault="001556EB" w:rsidP="00F449D0">
      <w:pPr>
        <w:spacing w:before="240"/>
        <w:ind w:left="709"/>
        <w:jc w:val="both"/>
        <w:outlineLvl w:val="0"/>
      </w:pPr>
      <w:r w:rsidRPr="00645049">
        <w:t>Les objectifs sont ceux des textes officiels (</w:t>
      </w:r>
      <w:r w:rsidRPr="00645049">
        <w:rPr>
          <w:rStyle w:val="ref11"/>
          <w:rFonts w:ascii="Times New Roman" w:hAnsi="Times New Roman"/>
          <w:sz w:val="20"/>
          <w:szCs w:val="20"/>
        </w:rPr>
        <w:t xml:space="preserve">Arrêté du 13/4/06 </w:t>
      </w:r>
      <w:r w:rsidRPr="00645049">
        <w:rPr>
          <w:sz w:val="20"/>
          <w:szCs w:val="20"/>
        </w:rPr>
        <w:t xml:space="preserve">publié au </w:t>
      </w:r>
      <w:r w:rsidRPr="00645049">
        <w:rPr>
          <w:rStyle w:val="ref11"/>
          <w:rFonts w:ascii="Times New Roman" w:hAnsi="Times New Roman"/>
          <w:sz w:val="20"/>
          <w:szCs w:val="20"/>
        </w:rPr>
        <w:t>JO du 26/4/06</w:t>
      </w:r>
      <w:r w:rsidRPr="00645049">
        <w:rPr>
          <w:rStyle w:val="ref11"/>
          <w:rFonts w:ascii="Times New Roman" w:hAnsi="Times New Roman"/>
          <w:sz w:val="24"/>
          <w:szCs w:val="24"/>
        </w:rPr>
        <w:t xml:space="preserve">) </w:t>
      </w:r>
      <w:r w:rsidRPr="00645049">
        <w:t>:</w:t>
      </w:r>
    </w:p>
    <w:p w:rsidR="001556EB" w:rsidRPr="00645049" w:rsidRDefault="001556EB" w:rsidP="00F449D0">
      <w:pPr>
        <w:spacing w:before="240"/>
        <w:ind w:left="709"/>
        <w:jc w:val="both"/>
        <w:outlineLvl w:val="0"/>
        <w:rPr>
          <w:sz w:val="18"/>
          <w:szCs w:val="18"/>
        </w:rPr>
      </w:pPr>
      <w:r w:rsidRPr="00645049">
        <w:rPr>
          <w:sz w:val="18"/>
          <w:szCs w:val="18"/>
        </w:rPr>
        <w:t>Approfondir et compléter les connaissances théoriques et pratiques des bactéries et virus et autres agents transmissibles et émergents d’intérêt médical, dont ceux décrits au niveau 1.</w:t>
      </w:r>
      <w:r w:rsidRPr="00645049">
        <w:rPr>
          <w:sz w:val="18"/>
          <w:szCs w:val="18"/>
        </w:rPr>
        <w:br/>
        <w:t xml:space="preserve">Savoir mettre en œuvre les examens biologiques nécessaires à la prévention, au diagnostic, à l’orientation et au suivi du traitement des infections bactériennes et virales d’origine communautaire et nosocomiale, ainsi que celles survenant chez les sujets immunodéficients. </w:t>
      </w:r>
    </w:p>
    <w:p w:rsidR="001556EB" w:rsidRPr="00645049" w:rsidRDefault="001556EB" w:rsidP="00F449D0">
      <w:pPr>
        <w:spacing w:before="240"/>
        <w:ind w:left="709"/>
        <w:outlineLvl w:val="0"/>
        <w:rPr>
          <w:sz w:val="18"/>
          <w:szCs w:val="18"/>
        </w:rPr>
      </w:pPr>
      <w:r w:rsidRPr="00645049">
        <w:rPr>
          <w:sz w:val="18"/>
          <w:szCs w:val="18"/>
        </w:rPr>
        <w:t xml:space="preserve">Connaître en particulier : </w:t>
      </w:r>
    </w:p>
    <w:p w:rsidR="001556EB" w:rsidRPr="00645049" w:rsidRDefault="001556EB" w:rsidP="00F449D0">
      <w:pPr>
        <w:numPr>
          <w:ilvl w:val="0"/>
          <w:numId w:val="4"/>
        </w:numPr>
        <w:ind w:left="1775" w:hanging="357"/>
        <w:outlineLvl w:val="0"/>
        <w:rPr>
          <w:sz w:val="18"/>
          <w:szCs w:val="18"/>
        </w:rPr>
      </w:pPr>
      <w:r w:rsidRPr="00645049">
        <w:rPr>
          <w:sz w:val="18"/>
          <w:szCs w:val="18"/>
        </w:rPr>
        <w:t>la réalisation des prélèvements ;</w:t>
      </w:r>
    </w:p>
    <w:p w:rsidR="001556EB" w:rsidRPr="00645049" w:rsidRDefault="001556EB" w:rsidP="00F449D0">
      <w:pPr>
        <w:numPr>
          <w:ilvl w:val="0"/>
          <w:numId w:val="4"/>
        </w:numPr>
        <w:ind w:left="1775" w:hanging="357"/>
        <w:outlineLvl w:val="0"/>
        <w:rPr>
          <w:sz w:val="18"/>
          <w:szCs w:val="18"/>
        </w:rPr>
      </w:pPr>
      <w:r w:rsidRPr="00645049">
        <w:rPr>
          <w:sz w:val="18"/>
          <w:szCs w:val="18"/>
        </w:rPr>
        <w:t>la validation du contrôle de la prescription ;</w:t>
      </w:r>
    </w:p>
    <w:p w:rsidR="001556EB" w:rsidRPr="00645049" w:rsidRDefault="001556EB" w:rsidP="00F449D0">
      <w:pPr>
        <w:numPr>
          <w:ilvl w:val="0"/>
          <w:numId w:val="4"/>
        </w:numPr>
        <w:ind w:left="1775" w:hanging="357"/>
        <w:outlineLvl w:val="0"/>
        <w:rPr>
          <w:sz w:val="18"/>
          <w:szCs w:val="18"/>
        </w:rPr>
      </w:pPr>
      <w:r w:rsidRPr="00645049">
        <w:rPr>
          <w:sz w:val="18"/>
          <w:szCs w:val="18"/>
        </w:rPr>
        <w:t>la maîtrise des techniques et la gestion des erreurs ;</w:t>
      </w:r>
    </w:p>
    <w:p w:rsidR="001556EB" w:rsidRPr="00645049" w:rsidRDefault="001556EB" w:rsidP="00F449D0">
      <w:pPr>
        <w:numPr>
          <w:ilvl w:val="0"/>
          <w:numId w:val="4"/>
        </w:numPr>
        <w:ind w:left="1775" w:hanging="357"/>
        <w:outlineLvl w:val="0"/>
        <w:rPr>
          <w:sz w:val="18"/>
          <w:szCs w:val="18"/>
        </w:rPr>
      </w:pPr>
      <w:r w:rsidRPr="00645049">
        <w:rPr>
          <w:sz w:val="18"/>
          <w:szCs w:val="18"/>
        </w:rPr>
        <w:t>la validation, l’interprétation et le dialogue clinico-biologique ;</w:t>
      </w:r>
    </w:p>
    <w:p w:rsidR="001556EB" w:rsidRPr="00645049" w:rsidRDefault="001556EB" w:rsidP="00F449D0">
      <w:pPr>
        <w:numPr>
          <w:ilvl w:val="0"/>
          <w:numId w:val="4"/>
        </w:numPr>
        <w:ind w:left="1775" w:hanging="357"/>
        <w:outlineLvl w:val="0"/>
        <w:rPr>
          <w:sz w:val="18"/>
          <w:szCs w:val="18"/>
        </w:rPr>
      </w:pPr>
      <w:r w:rsidRPr="00645049">
        <w:rPr>
          <w:sz w:val="18"/>
          <w:szCs w:val="18"/>
        </w:rPr>
        <w:t>l’application des référentiels des sociétés savantes ;</w:t>
      </w:r>
    </w:p>
    <w:p w:rsidR="001556EB" w:rsidRPr="00645049" w:rsidRDefault="001556EB" w:rsidP="00F449D0">
      <w:pPr>
        <w:numPr>
          <w:ilvl w:val="0"/>
          <w:numId w:val="4"/>
        </w:numPr>
        <w:ind w:left="1775" w:hanging="357"/>
        <w:outlineLvl w:val="0"/>
        <w:rPr>
          <w:sz w:val="18"/>
          <w:szCs w:val="18"/>
        </w:rPr>
      </w:pPr>
      <w:r w:rsidRPr="00645049">
        <w:rPr>
          <w:sz w:val="18"/>
          <w:szCs w:val="18"/>
        </w:rPr>
        <w:t>l’assurance qualité ;</w:t>
      </w:r>
    </w:p>
    <w:p w:rsidR="001556EB" w:rsidRPr="00645049" w:rsidRDefault="001556EB" w:rsidP="00F449D0">
      <w:pPr>
        <w:numPr>
          <w:ilvl w:val="0"/>
          <w:numId w:val="4"/>
        </w:numPr>
        <w:ind w:left="1775" w:hanging="357"/>
        <w:outlineLvl w:val="0"/>
        <w:rPr>
          <w:sz w:val="18"/>
          <w:szCs w:val="18"/>
        </w:rPr>
      </w:pPr>
      <w:r w:rsidRPr="00645049">
        <w:rPr>
          <w:sz w:val="18"/>
          <w:szCs w:val="18"/>
        </w:rPr>
        <w:t>l’hygiène et la sécurité au laboratoire ;</w:t>
      </w:r>
    </w:p>
    <w:p w:rsidR="001556EB" w:rsidRPr="00645049" w:rsidRDefault="001556EB" w:rsidP="00F449D0">
      <w:pPr>
        <w:numPr>
          <w:ilvl w:val="0"/>
          <w:numId w:val="4"/>
        </w:numPr>
        <w:ind w:left="1775" w:hanging="357"/>
        <w:outlineLvl w:val="0"/>
        <w:rPr>
          <w:sz w:val="18"/>
          <w:szCs w:val="18"/>
        </w:rPr>
      </w:pPr>
      <w:r w:rsidRPr="00645049">
        <w:rPr>
          <w:sz w:val="18"/>
          <w:szCs w:val="18"/>
        </w:rPr>
        <w:t>la sécurité infectieuse et sanitaire des produits biologiques (dons d’organes, thérapie cellulaire, bioterrorisme, par exemple) ;</w:t>
      </w:r>
    </w:p>
    <w:p w:rsidR="001556EB" w:rsidRPr="00645049" w:rsidRDefault="001556EB" w:rsidP="00F449D0">
      <w:pPr>
        <w:numPr>
          <w:ilvl w:val="0"/>
          <w:numId w:val="4"/>
        </w:numPr>
        <w:ind w:left="1775" w:hanging="357"/>
        <w:outlineLvl w:val="0"/>
        <w:rPr>
          <w:sz w:val="18"/>
          <w:szCs w:val="18"/>
        </w:rPr>
      </w:pPr>
      <w:r w:rsidRPr="00645049">
        <w:rPr>
          <w:sz w:val="18"/>
          <w:szCs w:val="18"/>
        </w:rPr>
        <w:t>les risques professionnels et les aspects médico-légaux ;</w:t>
      </w:r>
    </w:p>
    <w:p w:rsidR="001556EB" w:rsidRPr="00645049" w:rsidRDefault="001556EB" w:rsidP="00F449D0">
      <w:pPr>
        <w:numPr>
          <w:ilvl w:val="0"/>
          <w:numId w:val="4"/>
        </w:numPr>
        <w:ind w:left="1775" w:hanging="357"/>
        <w:outlineLvl w:val="0"/>
        <w:rPr>
          <w:sz w:val="18"/>
          <w:szCs w:val="18"/>
        </w:rPr>
      </w:pPr>
      <w:r w:rsidRPr="00645049">
        <w:rPr>
          <w:sz w:val="18"/>
          <w:szCs w:val="18"/>
        </w:rPr>
        <w:t>le rôle du laboratoire de bactériologie et de virologie dans la veille sanitaire.</w:t>
      </w:r>
    </w:p>
    <w:p w:rsidR="001556EB" w:rsidRPr="00645049" w:rsidRDefault="001556EB" w:rsidP="00F449D0">
      <w:pPr>
        <w:ind w:left="709"/>
        <w:jc w:val="both"/>
        <w:outlineLvl w:val="0"/>
        <w:rPr>
          <w:sz w:val="18"/>
          <w:szCs w:val="18"/>
        </w:rPr>
      </w:pPr>
      <w:r w:rsidRPr="00645049">
        <w:rPr>
          <w:sz w:val="18"/>
          <w:szCs w:val="18"/>
        </w:rPr>
        <w:br/>
        <w:t>Approfondir les connaissances sur les mécanismes d’action des antibiotiques et des antiviraux, les mécanismes de résistance, la surveillance et l’évolution de la résistance, la mise en œuvre et l’interprétation des techniques phénotypiques et génotypiques.</w:t>
      </w:r>
    </w:p>
    <w:p w:rsidR="001556EB" w:rsidRPr="00645049" w:rsidRDefault="001556EB" w:rsidP="00F449D0">
      <w:pPr>
        <w:ind w:left="709"/>
        <w:jc w:val="both"/>
        <w:outlineLvl w:val="0"/>
        <w:rPr>
          <w:sz w:val="18"/>
          <w:szCs w:val="18"/>
        </w:rPr>
      </w:pPr>
      <w:r w:rsidRPr="00645049">
        <w:rPr>
          <w:sz w:val="18"/>
          <w:szCs w:val="18"/>
        </w:rPr>
        <w:br/>
        <w:t>Perfectionner les connaissances en bactériologie moléculaire et virologie moléculaire : amplification de gènes cibles (identification des microorganismes, gènes de résistance aux antibiotiques, par exemple), séquençage de gènes cibles, épidémiologie moléculaire, bioinformatique.</w:t>
      </w:r>
    </w:p>
    <w:p w:rsidR="001556EB" w:rsidRPr="00645049" w:rsidRDefault="001556EB" w:rsidP="00F449D0">
      <w:pPr>
        <w:pStyle w:val="11-texte"/>
        <w:spacing w:before="0" w:beforeAutospacing="0" w:after="0" w:afterAutospacing="0"/>
        <w:jc w:val="center"/>
      </w:pPr>
      <w:r w:rsidRPr="00645049">
        <w:t xml:space="preserve">L’enseignement et la validation des acquis sont interactifs et permanents, puisque l’interne est en relation directe avec les praticiens qui l’encadrent et participe à toute discussion sur l’analyse critique des résultats, la cohérence bio-clinique et les dossiers particuliers, avec l’avantage de disposer dans le laboratoire de l’ensemble des données biologiques. Les objectifs du stage lui sont remis et une épreuve de validation formelle est prévue en fin de stage. </w:t>
      </w:r>
    </w:p>
    <w:p w:rsidR="001556EB" w:rsidRPr="00645049" w:rsidRDefault="001556EB" w:rsidP="00F449D0">
      <w:pPr>
        <w:pStyle w:val="11-texte"/>
        <w:spacing w:before="120" w:beforeAutospacing="0" w:after="0" w:afterAutospacing="0"/>
        <w:jc w:val="both"/>
        <w:rPr>
          <w:rFonts w:ascii="Times New Roman" w:hAnsi="Times New Roman" w:cs="Times New Roman"/>
          <w:sz w:val="22"/>
          <w:szCs w:val="22"/>
        </w:rPr>
      </w:pPr>
    </w:p>
    <w:p w:rsidR="001556EB" w:rsidRPr="00645049" w:rsidRDefault="001556EB" w:rsidP="00F449D0">
      <w:pPr>
        <w:pStyle w:val="NormalWeb"/>
        <w:shd w:val="clear" w:color="auto" w:fill="FFFFFF"/>
        <w:spacing w:before="0" w:beforeAutospacing="0" w:after="0" w:afterAutospacing="0"/>
        <w:jc w:val="center"/>
        <w:rPr>
          <w:rStyle w:val="Strong"/>
          <w:sz w:val="22"/>
          <w:szCs w:val="22"/>
          <w:u w:val="single"/>
        </w:rPr>
      </w:pPr>
      <w:r w:rsidRPr="00645049">
        <w:rPr>
          <w:rStyle w:val="Strong"/>
          <w:sz w:val="22"/>
          <w:szCs w:val="22"/>
          <w:u w:val="single"/>
        </w:rPr>
        <w:t>ANNEXE</w:t>
      </w:r>
    </w:p>
    <w:p w:rsidR="001556EB" w:rsidRPr="00645049" w:rsidRDefault="001556EB" w:rsidP="00F449D0">
      <w:pPr>
        <w:pStyle w:val="NormalWeb"/>
        <w:shd w:val="clear" w:color="auto" w:fill="FFFFFF"/>
        <w:spacing w:before="0" w:beforeAutospacing="0" w:after="0" w:afterAutospacing="0"/>
        <w:jc w:val="both"/>
        <w:rPr>
          <w:rStyle w:val="Strong"/>
          <w:sz w:val="10"/>
          <w:szCs w:val="10"/>
        </w:rPr>
      </w:pPr>
    </w:p>
    <w:p w:rsidR="001556EB" w:rsidRPr="00645049" w:rsidRDefault="001556EB" w:rsidP="00F449D0">
      <w:pPr>
        <w:pStyle w:val="NormalWeb"/>
        <w:shd w:val="clear" w:color="auto" w:fill="FFFFFF"/>
        <w:spacing w:before="0" w:beforeAutospacing="0" w:after="0" w:afterAutospacing="0"/>
        <w:jc w:val="both"/>
        <w:rPr>
          <w:rStyle w:val="Strong"/>
          <w:sz w:val="20"/>
          <w:szCs w:val="20"/>
        </w:rPr>
      </w:pPr>
      <w:r w:rsidRPr="00645049">
        <w:rPr>
          <w:rStyle w:val="Strong"/>
          <w:sz w:val="20"/>
          <w:szCs w:val="20"/>
        </w:rPr>
        <w:t>Objectifs spécifiques du stage d’interne en hématologie biologique au Laboratoire du Groupe Hospitalier de l’Institut Catholique de Lille (GHICL)</w:t>
      </w:r>
    </w:p>
    <w:p w:rsidR="001556EB" w:rsidRPr="00645049" w:rsidRDefault="001556EB" w:rsidP="00F449D0">
      <w:pPr>
        <w:pStyle w:val="NormalWeb"/>
        <w:shd w:val="clear" w:color="auto" w:fill="FFFFFF"/>
        <w:spacing w:before="0" w:beforeAutospacing="0"/>
        <w:jc w:val="both"/>
        <w:rPr>
          <w:rStyle w:val="Strong"/>
          <w:sz w:val="20"/>
          <w:szCs w:val="20"/>
        </w:rPr>
      </w:pPr>
      <w:r w:rsidRPr="00645049">
        <w:rPr>
          <w:rStyle w:val="Strong"/>
          <w:b w:val="0"/>
          <w:sz w:val="20"/>
          <w:szCs w:val="20"/>
        </w:rPr>
        <w:t>Adapté de « </w:t>
      </w:r>
      <w:r w:rsidRPr="00645049">
        <w:rPr>
          <w:rStyle w:val="tit1"/>
          <w:rFonts w:ascii="Times New Roman" w:hAnsi="Times New Roman"/>
          <w:b w:val="0"/>
          <w:i/>
          <w:color w:val="auto"/>
          <w:sz w:val="20"/>
          <w:szCs w:val="20"/>
        </w:rPr>
        <w:t>Objectifs pédagogiques du diplôme d’études spécialisées de biologie médicale</w:t>
      </w:r>
      <w:r w:rsidRPr="00645049">
        <w:rPr>
          <w:rStyle w:val="tit1"/>
          <w:rFonts w:ascii="Times New Roman" w:hAnsi="Times New Roman"/>
          <w:b w:val="0"/>
          <w:color w:val="auto"/>
          <w:sz w:val="20"/>
          <w:szCs w:val="20"/>
        </w:rPr>
        <w:t> »</w:t>
      </w:r>
      <w:r w:rsidRPr="00645049">
        <w:rPr>
          <w:sz w:val="20"/>
          <w:szCs w:val="20"/>
        </w:rPr>
        <w:br/>
      </w:r>
      <w:r w:rsidRPr="00645049">
        <w:rPr>
          <w:rStyle w:val="ref11"/>
          <w:rFonts w:ascii="Times New Roman" w:hAnsi="Times New Roman"/>
          <w:sz w:val="20"/>
          <w:szCs w:val="20"/>
        </w:rPr>
        <w:t>Arrêté du 13-4-2006 publié au JO du 26-4-2006</w:t>
      </w:r>
    </w:p>
    <w:p w:rsidR="001556EB" w:rsidRPr="00645049" w:rsidRDefault="001556EB" w:rsidP="00F449D0">
      <w:pPr>
        <w:pStyle w:val="NormalWeb"/>
        <w:shd w:val="clear" w:color="auto" w:fill="FFFFFF"/>
        <w:jc w:val="both"/>
        <w:rPr>
          <w:rStyle w:val="Strong"/>
          <w:sz w:val="20"/>
          <w:szCs w:val="20"/>
          <w:u w:val="single"/>
        </w:rPr>
      </w:pPr>
      <w:r w:rsidRPr="00645049">
        <w:rPr>
          <w:rStyle w:val="Strong"/>
          <w:sz w:val="20"/>
          <w:szCs w:val="20"/>
          <w:u w:val="single"/>
        </w:rPr>
        <w:t>1) Internes de Niveau 1</w:t>
      </w:r>
    </w:p>
    <w:p w:rsidR="001556EB" w:rsidRPr="00645049" w:rsidRDefault="001556EB" w:rsidP="00F449D0">
      <w:pPr>
        <w:pStyle w:val="NormalWeb"/>
        <w:shd w:val="clear" w:color="auto" w:fill="FFFFFF"/>
        <w:spacing w:before="0" w:beforeAutospacing="0" w:after="120" w:afterAutospacing="0"/>
        <w:jc w:val="both"/>
        <w:rPr>
          <w:rStyle w:val="Strong"/>
          <w:sz w:val="20"/>
          <w:szCs w:val="20"/>
        </w:rPr>
      </w:pPr>
      <w:r w:rsidRPr="00645049">
        <w:rPr>
          <w:rStyle w:val="Strong"/>
          <w:sz w:val="20"/>
          <w:szCs w:val="20"/>
        </w:rPr>
        <w:t>1A. Module Hématimétrie-Cytologie</w:t>
      </w:r>
    </w:p>
    <w:p w:rsidR="001556EB" w:rsidRPr="00645049" w:rsidRDefault="001556EB" w:rsidP="00F449D0">
      <w:pPr>
        <w:pStyle w:val="NormalWeb"/>
        <w:shd w:val="clear" w:color="auto" w:fill="FFFFFF"/>
        <w:spacing w:before="0" w:beforeAutospacing="0" w:after="120" w:afterAutospacing="0"/>
        <w:jc w:val="both"/>
        <w:rPr>
          <w:b/>
          <w:bCs/>
          <w:sz w:val="20"/>
          <w:szCs w:val="20"/>
        </w:rPr>
      </w:pPr>
      <w:r w:rsidRPr="00645049">
        <w:rPr>
          <w:rStyle w:val="Strong"/>
          <w:sz w:val="20"/>
          <w:szCs w:val="20"/>
        </w:rPr>
        <w:t>a. Savoir faire et superviser</w:t>
      </w:r>
    </w:p>
    <w:p w:rsidR="001556EB" w:rsidRPr="00645049" w:rsidRDefault="001556EB" w:rsidP="00F449D0">
      <w:pPr>
        <w:pStyle w:val="NormalWeb"/>
        <w:shd w:val="clear" w:color="auto" w:fill="FFFFFF"/>
        <w:spacing w:before="120" w:beforeAutospacing="0" w:after="0" w:afterAutospacing="0"/>
        <w:ind w:firstLine="150"/>
        <w:jc w:val="both"/>
        <w:rPr>
          <w:sz w:val="20"/>
          <w:szCs w:val="20"/>
        </w:rPr>
      </w:pPr>
      <w:r>
        <w:pict>
          <v:shape id="_x0000_i1025" type="#_x0000_t75" alt="-" style="width:6pt;height:8.25pt">
            <v:imagedata r:id="rId6" r:href="rId7"/>
          </v:shape>
        </w:pict>
      </w:r>
      <w:r w:rsidRPr="00645049">
        <w:rPr>
          <w:sz w:val="20"/>
          <w:szCs w:val="20"/>
        </w:rPr>
        <w:t> L’hémogramme automatisé :</w:t>
      </w:r>
    </w:p>
    <w:p w:rsidR="001556EB" w:rsidRPr="00645049" w:rsidRDefault="001556EB" w:rsidP="00F449D0">
      <w:pPr>
        <w:numPr>
          <w:ilvl w:val="0"/>
          <w:numId w:val="5"/>
        </w:numPr>
        <w:shd w:val="clear" w:color="auto" w:fill="FFFFFF"/>
        <w:jc w:val="both"/>
        <w:rPr>
          <w:sz w:val="20"/>
          <w:szCs w:val="20"/>
        </w:rPr>
      </w:pPr>
      <w:r w:rsidRPr="00645049">
        <w:rPr>
          <w:sz w:val="20"/>
          <w:szCs w:val="20"/>
        </w:rPr>
        <w:t>connaître les exigences de la phase pré-analytique et les principales non-conformités</w:t>
      </w:r>
    </w:p>
    <w:p w:rsidR="001556EB" w:rsidRPr="00645049" w:rsidRDefault="001556EB" w:rsidP="00F449D0">
      <w:pPr>
        <w:numPr>
          <w:ilvl w:val="0"/>
          <w:numId w:val="5"/>
        </w:numPr>
        <w:shd w:val="clear" w:color="auto" w:fill="FFFFFF"/>
        <w:jc w:val="both"/>
        <w:rPr>
          <w:sz w:val="20"/>
          <w:szCs w:val="20"/>
        </w:rPr>
      </w:pPr>
      <w:r w:rsidRPr="00645049">
        <w:rPr>
          <w:sz w:val="20"/>
          <w:szCs w:val="20"/>
        </w:rPr>
        <w:t xml:space="preserve">connaître le fonctionnement de l’automate de numération Sysmex XE2100 </w:t>
      </w:r>
    </w:p>
    <w:p w:rsidR="001556EB" w:rsidRPr="00645049" w:rsidRDefault="001556EB" w:rsidP="00F449D0">
      <w:pPr>
        <w:numPr>
          <w:ilvl w:val="0"/>
          <w:numId w:val="5"/>
        </w:numPr>
        <w:shd w:val="clear" w:color="auto" w:fill="FFFFFF"/>
        <w:jc w:val="both"/>
        <w:rPr>
          <w:sz w:val="20"/>
          <w:szCs w:val="20"/>
        </w:rPr>
      </w:pPr>
      <w:r w:rsidRPr="00645049">
        <w:rPr>
          <w:sz w:val="20"/>
          <w:szCs w:val="20"/>
        </w:rPr>
        <w:t xml:space="preserve">savoir l’utiliser en mode manuel et automatique </w:t>
      </w:r>
    </w:p>
    <w:p w:rsidR="001556EB" w:rsidRPr="00645049" w:rsidRDefault="001556EB" w:rsidP="00F449D0">
      <w:pPr>
        <w:numPr>
          <w:ilvl w:val="0"/>
          <w:numId w:val="5"/>
        </w:numPr>
        <w:shd w:val="clear" w:color="auto" w:fill="FFFFFF"/>
        <w:jc w:val="both"/>
        <w:rPr>
          <w:sz w:val="20"/>
          <w:szCs w:val="20"/>
        </w:rPr>
      </w:pPr>
      <w:r w:rsidRPr="00645049">
        <w:rPr>
          <w:sz w:val="20"/>
          <w:szCs w:val="20"/>
        </w:rPr>
        <w:t>connaître et détecter les incidents et pièges de numérations (microcaillots, agrégats plaquettaires, présence d’érythroblastes, agglutinines froides, hémodilution)</w:t>
      </w:r>
    </w:p>
    <w:p w:rsidR="001556EB" w:rsidRPr="00645049" w:rsidRDefault="001556EB" w:rsidP="00F449D0">
      <w:pPr>
        <w:numPr>
          <w:ilvl w:val="0"/>
          <w:numId w:val="5"/>
        </w:numPr>
        <w:shd w:val="clear" w:color="auto" w:fill="FFFFFF"/>
        <w:jc w:val="both"/>
        <w:rPr>
          <w:sz w:val="20"/>
          <w:szCs w:val="20"/>
        </w:rPr>
      </w:pPr>
      <w:r w:rsidRPr="00645049">
        <w:rPr>
          <w:sz w:val="20"/>
          <w:szCs w:val="20"/>
        </w:rPr>
        <w:t>interpréter les représentations matricielles de la répartition des leucocytes, les courbes de volume des hématies et plaquettes et leurs anomalies </w:t>
      </w:r>
    </w:p>
    <w:p w:rsidR="001556EB" w:rsidRPr="00645049" w:rsidRDefault="001556EB" w:rsidP="00F449D0">
      <w:pPr>
        <w:numPr>
          <w:ilvl w:val="0"/>
          <w:numId w:val="5"/>
        </w:numPr>
        <w:shd w:val="clear" w:color="auto" w:fill="FFFFFF"/>
        <w:jc w:val="both"/>
        <w:rPr>
          <w:sz w:val="20"/>
          <w:szCs w:val="20"/>
        </w:rPr>
      </w:pPr>
      <w:r w:rsidRPr="00645049">
        <w:rPr>
          <w:sz w:val="20"/>
          <w:szCs w:val="20"/>
        </w:rPr>
        <w:t>connaître les valeurs de référence et règles d’expertise mises en place dans le laboratoire et devant aboutir à l’observation du frottis sanguin au microscope</w:t>
      </w:r>
    </w:p>
    <w:p w:rsidR="001556EB" w:rsidRPr="00645049" w:rsidRDefault="001556EB" w:rsidP="00F449D0">
      <w:pPr>
        <w:shd w:val="clear" w:color="auto" w:fill="FFFFFF"/>
        <w:jc w:val="both"/>
        <w:rPr>
          <w:sz w:val="20"/>
          <w:szCs w:val="20"/>
        </w:rPr>
      </w:pPr>
    </w:p>
    <w:p w:rsidR="001556EB" w:rsidRPr="00645049" w:rsidRDefault="001556EB" w:rsidP="00F449D0">
      <w:pPr>
        <w:pStyle w:val="NormalWeb"/>
        <w:shd w:val="clear" w:color="auto" w:fill="FFFFFF"/>
        <w:spacing w:before="0" w:beforeAutospacing="0" w:after="0" w:afterAutospacing="0"/>
        <w:ind w:firstLine="150"/>
        <w:jc w:val="both"/>
        <w:rPr>
          <w:sz w:val="20"/>
          <w:szCs w:val="20"/>
        </w:rPr>
      </w:pPr>
      <w:r w:rsidRPr="00645049">
        <w:rPr>
          <w:sz w:val="20"/>
          <w:szCs w:val="20"/>
        </w:rPr>
        <w:pict>
          <v:shape id="_x0000_i1026" type="#_x0000_t75" alt="-" style="width:6pt;height:8.25pt">
            <v:imagedata r:id="rId6" r:href="rId8"/>
          </v:shape>
        </w:pict>
      </w:r>
      <w:r w:rsidRPr="00645049">
        <w:rPr>
          <w:sz w:val="20"/>
          <w:szCs w:val="20"/>
        </w:rPr>
        <w:t> L’étude des frottis sanguins au microscope :</w:t>
      </w:r>
    </w:p>
    <w:p w:rsidR="001556EB" w:rsidRPr="00645049" w:rsidRDefault="001556EB" w:rsidP="00F449D0">
      <w:pPr>
        <w:numPr>
          <w:ilvl w:val="0"/>
          <w:numId w:val="6"/>
        </w:numPr>
        <w:shd w:val="clear" w:color="auto" w:fill="FFFFFF"/>
        <w:jc w:val="both"/>
        <w:rPr>
          <w:sz w:val="20"/>
          <w:szCs w:val="20"/>
        </w:rPr>
      </w:pPr>
      <w:r w:rsidRPr="00645049">
        <w:rPr>
          <w:sz w:val="20"/>
          <w:szCs w:val="20"/>
        </w:rPr>
        <w:t>connaître le principe de la coloration de May-Grunwald-Giemsa</w:t>
      </w:r>
    </w:p>
    <w:p w:rsidR="001556EB" w:rsidRPr="00645049" w:rsidRDefault="001556EB" w:rsidP="00F449D0">
      <w:pPr>
        <w:numPr>
          <w:ilvl w:val="0"/>
          <w:numId w:val="6"/>
        </w:numPr>
        <w:shd w:val="clear" w:color="auto" w:fill="FFFFFF"/>
        <w:jc w:val="both"/>
        <w:rPr>
          <w:sz w:val="20"/>
          <w:szCs w:val="20"/>
        </w:rPr>
      </w:pPr>
      <w:r w:rsidRPr="00645049">
        <w:rPr>
          <w:sz w:val="20"/>
          <w:szCs w:val="20"/>
        </w:rPr>
        <w:t>connaître le fonctionnement du poste périphérique utilisé pour consulter les résultats de l’automate et introduire la formule leucocytaire et les commentaires éventuels</w:t>
      </w:r>
    </w:p>
    <w:p w:rsidR="001556EB" w:rsidRPr="00645049" w:rsidRDefault="001556EB" w:rsidP="00F449D0">
      <w:pPr>
        <w:numPr>
          <w:ilvl w:val="0"/>
          <w:numId w:val="6"/>
        </w:numPr>
        <w:shd w:val="clear" w:color="auto" w:fill="FFFFFF"/>
        <w:jc w:val="both"/>
        <w:rPr>
          <w:sz w:val="20"/>
          <w:szCs w:val="20"/>
        </w:rPr>
      </w:pPr>
      <w:r w:rsidRPr="00645049">
        <w:rPr>
          <w:sz w:val="20"/>
          <w:szCs w:val="20"/>
        </w:rPr>
        <w:t xml:space="preserve">identifier les éléments nucléés du sang et établir la formule leucocytaire   </w:t>
      </w:r>
    </w:p>
    <w:p w:rsidR="001556EB" w:rsidRPr="00645049" w:rsidRDefault="001556EB" w:rsidP="00F449D0">
      <w:pPr>
        <w:numPr>
          <w:ilvl w:val="0"/>
          <w:numId w:val="6"/>
        </w:numPr>
        <w:shd w:val="clear" w:color="auto" w:fill="FFFFFF"/>
        <w:jc w:val="both"/>
        <w:rPr>
          <w:sz w:val="20"/>
          <w:szCs w:val="20"/>
        </w:rPr>
      </w:pPr>
      <w:r w:rsidRPr="00645049">
        <w:rPr>
          <w:sz w:val="20"/>
          <w:szCs w:val="20"/>
        </w:rPr>
        <w:t xml:space="preserve">identifier les anomalies des globules rouges et des plaquettes  </w:t>
      </w:r>
    </w:p>
    <w:p w:rsidR="001556EB" w:rsidRPr="00645049" w:rsidRDefault="001556EB" w:rsidP="00F449D0">
      <w:pPr>
        <w:numPr>
          <w:ilvl w:val="0"/>
          <w:numId w:val="6"/>
        </w:numPr>
        <w:shd w:val="clear" w:color="auto" w:fill="FFFFFF"/>
        <w:jc w:val="both"/>
        <w:rPr>
          <w:sz w:val="20"/>
          <w:szCs w:val="20"/>
        </w:rPr>
      </w:pPr>
      <w:r w:rsidRPr="00645049">
        <w:rPr>
          <w:sz w:val="20"/>
          <w:szCs w:val="20"/>
        </w:rPr>
        <w:t xml:space="preserve">savoir reconnaître les précurseurs des lignées myéloïdes   </w:t>
      </w:r>
    </w:p>
    <w:p w:rsidR="001556EB" w:rsidRPr="00645049" w:rsidRDefault="001556EB" w:rsidP="00F449D0">
      <w:pPr>
        <w:numPr>
          <w:ilvl w:val="0"/>
          <w:numId w:val="6"/>
        </w:numPr>
        <w:shd w:val="clear" w:color="auto" w:fill="FFFFFF"/>
        <w:jc w:val="both"/>
        <w:rPr>
          <w:sz w:val="20"/>
          <w:szCs w:val="20"/>
        </w:rPr>
      </w:pPr>
      <w:r w:rsidRPr="00645049">
        <w:rPr>
          <w:sz w:val="20"/>
          <w:szCs w:val="20"/>
        </w:rPr>
        <w:t xml:space="preserve">savoir dépister les éléments anormaux (blastes et cellules lymphoïdes)  </w:t>
      </w:r>
    </w:p>
    <w:p w:rsidR="001556EB" w:rsidRPr="00645049" w:rsidRDefault="001556EB" w:rsidP="00F449D0">
      <w:pPr>
        <w:numPr>
          <w:ilvl w:val="0"/>
          <w:numId w:val="6"/>
        </w:numPr>
        <w:shd w:val="clear" w:color="auto" w:fill="FFFFFF"/>
        <w:jc w:val="both"/>
        <w:rPr>
          <w:sz w:val="20"/>
          <w:szCs w:val="20"/>
        </w:rPr>
      </w:pPr>
      <w:r w:rsidRPr="00645049">
        <w:rPr>
          <w:sz w:val="20"/>
          <w:szCs w:val="20"/>
        </w:rPr>
        <w:t xml:space="preserve">savoir reconnaître les érythroblastes circulants et en déterminer le nombre  </w:t>
      </w:r>
    </w:p>
    <w:p w:rsidR="001556EB" w:rsidRPr="00645049" w:rsidRDefault="001556EB" w:rsidP="00F449D0">
      <w:pPr>
        <w:numPr>
          <w:ilvl w:val="0"/>
          <w:numId w:val="6"/>
        </w:numPr>
        <w:shd w:val="clear" w:color="auto" w:fill="FFFFFF"/>
        <w:jc w:val="both"/>
        <w:rPr>
          <w:sz w:val="20"/>
          <w:szCs w:val="20"/>
        </w:rPr>
      </w:pPr>
      <w:r w:rsidRPr="00645049">
        <w:rPr>
          <w:sz w:val="20"/>
          <w:szCs w:val="20"/>
        </w:rPr>
        <w:t xml:space="preserve">savoir estimer le nombre des leucocytes et des plaquettes sur un frottis sanguin </w:t>
      </w:r>
    </w:p>
    <w:p w:rsidR="001556EB" w:rsidRPr="00645049" w:rsidRDefault="001556EB" w:rsidP="00F449D0">
      <w:pPr>
        <w:shd w:val="clear" w:color="auto" w:fill="FFFFFF"/>
        <w:jc w:val="both"/>
        <w:rPr>
          <w:sz w:val="20"/>
          <w:szCs w:val="20"/>
        </w:rPr>
      </w:pPr>
    </w:p>
    <w:p w:rsidR="001556EB" w:rsidRPr="00645049" w:rsidRDefault="001556EB" w:rsidP="00F449D0">
      <w:pPr>
        <w:pStyle w:val="NormalWeb"/>
        <w:shd w:val="clear" w:color="auto" w:fill="FFFFFF"/>
        <w:spacing w:before="0" w:beforeAutospacing="0" w:after="0" w:afterAutospacing="0"/>
        <w:ind w:firstLine="150"/>
        <w:jc w:val="both"/>
        <w:rPr>
          <w:sz w:val="20"/>
          <w:szCs w:val="20"/>
        </w:rPr>
      </w:pPr>
      <w:r w:rsidRPr="00645049">
        <w:rPr>
          <w:sz w:val="20"/>
          <w:szCs w:val="20"/>
        </w:rPr>
        <w:pict>
          <v:shape id="_x0000_i1027" type="#_x0000_t75" alt="-" style="width:6pt;height:8.25pt">
            <v:imagedata r:id="rId6" r:href="rId9"/>
          </v:shape>
        </w:pict>
      </w:r>
      <w:r w:rsidRPr="00645049">
        <w:rPr>
          <w:sz w:val="20"/>
          <w:szCs w:val="20"/>
        </w:rPr>
        <w:t> connaître le principe de la numération automatique des réticulocytes et du dénombrement des plaquettes par méthode optique.</w:t>
      </w:r>
    </w:p>
    <w:p w:rsidR="001556EB" w:rsidRPr="00645049" w:rsidRDefault="001556EB" w:rsidP="00F449D0">
      <w:pPr>
        <w:pStyle w:val="NormalWeb"/>
        <w:shd w:val="clear" w:color="auto" w:fill="FFFFFF"/>
        <w:spacing w:before="0" w:beforeAutospacing="0" w:after="0" w:afterAutospacing="0"/>
        <w:ind w:firstLine="150"/>
        <w:jc w:val="both"/>
        <w:rPr>
          <w:sz w:val="2"/>
          <w:szCs w:val="2"/>
        </w:rPr>
      </w:pPr>
    </w:p>
    <w:p w:rsidR="001556EB" w:rsidRPr="00645049" w:rsidRDefault="001556EB" w:rsidP="00F449D0">
      <w:pPr>
        <w:pStyle w:val="NormalWeb"/>
        <w:shd w:val="clear" w:color="auto" w:fill="FFFFFF"/>
        <w:spacing w:before="0" w:beforeAutospacing="0" w:after="120" w:afterAutospacing="0"/>
        <w:jc w:val="both"/>
        <w:rPr>
          <w:sz w:val="20"/>
          <w:szCs w:val="20"/>
        </w:rPr>
      </w:pPr>
      <w:r w:rsidRPr="00645049">
        <w:rPr>
          <w:rStyle w:val="Strong"/>
          <w:sz w:val="20"/>
          <w:szCs w:val="20"/>
        </w:rPr>
        <w:t>b. Etre capable de critiquer</w:t>
      </w:r>
    </w:p>
    <w:p w:rsidR="001556EB" w:rsidRPr="00645049" w:rsidRDefault="001556EB" w:rsidP="00F449D0">
      <w:pPr>
        <w:pStyle w:val="NormalWeb"/>
        <w:numPr>
          <w:ilvl w:val="0"/>
          <w:numId w:val="7"/>
        </w:numPr>
        <w:shd w:val="clear" w:color="auto" w:fill="FFFFFF"/>
        <w:spacing w:before="0" w:beforeAutospacing="0" w:after="0" w:afterAutospacing="0"/>
        <w:ind w:left="777" w:hanging="357"/>
        <w:jc w:val="both"/>
        <w:rPr>
          <w:sz w:val="20"/>
          <w:szCs w:val="20"/>
        </w:rPr>
      </w:pPr>
      <w:r w:rsidRPr="00645049">
        <w:rPr>
          <w:sz w:val="20"/>
          <w:szCs w:val="20"/>
        </w:rPr>
        <w:t>la qualité des frottis sanguins, médullaires et ganglionnaires </w:t>
      </w:r>
    </w:p>
    <w:p w:rsidR="001556EB" w:rsidRPr="00645049" w:rsidRDefault="001556EB" w:rsidP="00F449D0">
      <w:pPr>
        <w:pStyle w:val="NormalWeb"/>
        <w:numPr>
          <w:ilvl w:val="0"/>
          <w:numId w:val="7"/>
        </w:numPr>
        <w:shd w:val="clear" w:color="auto" w:fill="FFFFFF"/>
        <w:spacing w:before="0" w:beforeAutospacing="0" w:after="0" w:afterAutospacing="0"/>
        <w:ind w:left="777" w:hanging="357"/>
        <w:jc w:val="both"/>
        <w:rPr>
          <w:sz w:val="20"/>
          <w:szCs w:val="20"/>
        </w:rPr>
      </w:pPr>
      <w:r w:rsidRPr="00645049">
        <w:rPr>
          <w:sz w:val="20"/>
          <w:szCs w:val="20"/>
        </w:rPr>
        <w:t>la qualité de la coloration de MGG.</w:t>
      </w:r>
    </w:p>
    <w:p w:rsidR="001556EB" w:rsidRPr="00645049" w:rsidRDefault="001556EB" w:rsidP="00F449D0">
      <w:pPr>
        <w:pStyle w:val="NormalWeb"/>
        <w:shd w:val="clear" w:color="auto" w:fill="FFFFFF"/>
        <w:spacing w:before="0" w:beforeAutospacing="0" w:after="0" w:afterAutospacing="0"/>
        <w:ind w:left="150"/>
        <w:jc w:val="both"/>
        <w:rPr>
          <w:sz w:val="20"/>
          <w:szCs w:val="20"/>
        </w:rPr>
      </w:pPr>
    </w:p>
    <w:p w:rsidR="001556EB" w:rsidRPr="00645049" w:rsidRDefault="001556EB" w:rsidP="00F449D0">
      <w:pPr>
        <w:pStyle w:val="NormalWeb"/>
        <w:shd w:val="clear" w:color="auto" w:fill="FFFFFF"/>
        <w:spacing w:before="0" w:beforeAutospacing="0" w:after="0" w:afterAutospacing="0"/>
        <w:jc w:val="both"/>
        <w:rPr>
          <w:rStyle w:val="Strong"/>
          <w:sz w:val="20"/>
          <w:szCs w:val="20"/>
        </w:rPr>
      </w:pPr>
      <w:r w:rsidRPr="00645049">
        <w:rPr>
          <w:rStyle w:val="Strong"/>
          <w:sz w:val="20"/>
          <w:szCs w:val="20"/>
        </w:rPr>
        <w:t>c. S’initier à l’étude de la moelle osseuse et des ganglions</w:t>
      </w:r>
    </w:p>
    <w:p w:rsidR="001556EB" w:rsidRPr="00645049" w:rsidRDefault="001556EB" w:rsidP="00F449D0">
      <w:pPr>
        <w:pStyle w:val="NormalWeb"/>
        <w:numPr>
          <w:ilvl w:val="0"/>
          <w:numId w:val="7"/>
        </w:numPr>
        <w:shd w:val="clear" w:color="auto" w:fill="FFFFFF"/>
        <w:spacing w:before="0" w:beforeAutospacing="0" w:after="0" w:afterAutospacing="0"/>
        <w:ind w:left="777" w:hanging="357"/>
        <w:jc w:val="both"/>
        <w:rPr>
          <w:sz w:val="20"/>
          <w:szCs w:val="20"/>
        </w:rPr>
      </w:pPr>
      <w:r w:rsidRPr="00645049">
        <w:rPr>
          <w:sz w:val="20"/>
          <w:szCs w:val="20"/>
        </w:rPr>
        <w:t xml:space="preserve">connaître les indications et les renseignements attendus de l’étude médullaire (aspirations et/ou biopsie) et déterminer le siège du prélèvement en fonction de l’âge, de l’indication et des antécédents.  </w:t>
      </w:r>
    </w:p>
    <w:p w:rsidR="001556EB" w:rsidRPr="00645049" w:rsidRDefault="001556EB" w:rsidP="00F449D0">
      <w:pPr>
        <w:pStyle w:val="NormalWeb"/>
        <w:numPr>
          <w:ilvl w:val="0"/>
          <w:numId w:val="7"/>
        </w:numPr>
        <w:shd w:val="clear" w:color="auto" w:fill="FFFFFF"/>
        <w:spacing w:before="0" w:beforeAutospacing="0"/>
        <w:ind w:left="777" w:hanging="357"/>
        <w:jc w:val="both"/>
        <w:rPr>
          <w:sz w:val="20"/>
          <w:szCs w:val="20"/>
        </w:rPr>
      </w:pPr>
      <w:r w:rsidRPr="00645049">
        <w:rPr>
          <w:sz w:val="20"/>
          <w:szCs w:val="20"/>
        </w:rPr>
        <w:t xml:space="preserve">savoir comment sont réalisées les ponctions de moelle et les ponctions de ganglions ; être capable de procéder à la ponction et à l’étalement avec l’aide d’un médecin senior. </w:t>
      </w:r>
    </w:p>
    <w:p w:rsidR="001556EB" w:rsidRPr="00645049" w:rsidRDefault="001556EB" w:rsidP="00F449D0">
      <w:pPr>
        <w:pStyle w:val="NormalWeb"/>
        <w:numPr>
          <w:ilvl w:val="0"/>
          <w:numId w:val="7"/>
        </w:numPr>
        <w:shd w:val="clear" w:color="auto" w:fill="FFFFFF"/>
        <w:spacing w:before="0" w:beforeAutospacing="0"/>
        <w:ind w:left="777" w:hanging="357"/>
        <w:jc w:val="both"/>
        <w:rPr>
          <w:sz w:val="20"/>
          <w:szCs w:val="20"/>
        </w:rPr>
      </w:pPr>
      <w:r w:rsidRPr="00645049">
        <w:rPr>
          <w:sz w:val="20"/>
          <w:szCs w:val="20"/>
        </w:rPr>
        <w:t>savoir faire le décompte de myélogrammes normaux ou réactionnels dans le but de bien connaître les précurseurs de l’hématopoïèse en application des connaissances théoriques </w:t>
      </w:r>
    </w:p>
    <w:p w:rsidR="001556EB" w:rsidRPr="00645049" w:rsidRDefault="001556EB" w:rsidP="00F449D0">
      <w:pPr>
        <w:pStyle w:val="NormalWeb"/>
        <w:numPr>
          <w:ilvl w:val="0"/>
          <w:numId w:val="7"/>
        </w:numPr>
        <w:shd w:val="clear" w:color="auto" w:fill="FFFFFF"/>
        <w:spacing w:before="0" w:beforeAutospacing="0"/>
        <w:ind w:left="777" w:hanging="357"/>
        <w:jc w:val="both"/>
        <w:rPr>
          <w:sz w:val="20"/>
          <w:szCs w:val="20"/>
        </w:rPr>
      </w:pPr>
      <w:r w:rsidRPr="00645049">
        <w:rPr>
          <w:sz w:val="20"/>
          <w:szCs w:val="20"/>
        </w:rPr>
        <w:t>pouvoir identifier un myélogramme anormal chez l’adulte</w:t>
      </w:r>
    </w:p>
    <w:p w:rsidR="001556EB" w:rsidRPr="00645049" w:rsidRDefault="001556EB" w:rsidP="00F449D0">
      <w:pPr>
        <w:pStyle w:val="NormalWeb"/>
        <w:numPr>
          <w:ilvl w:val="0"/>
          <w:numId w:val="7"/>
        </w:numPr>
        <w:shd w:val="clear" w:color="auto" w:fill="FFFFFF"/>
        <w:spacing w:before="0" w:beforeAutospacing="0"/>
        <w:ind w:left="777" w:hanging="357"/>
        <w:jc w:val="both"/>
        <w:rPr>
          <w:sz w:val="20"/>
          <w:szCs w:val="20"/>
        </w:rPr>
      </w:pPr>
      <w:r w:rsidRPr="00645049">
        <w:rPr>
          <w:sz w:val="20"/>
          <w:szCs w:val="20"/>
        </w:rPr>
        <w:t>avoir observé l’aspect cytologique d’une ponction d’organe lymphoïde</w:t>
      </w:r>
    </w:p>
    <w:p w:rsidR="001556EB" w:rsidRPr="00645049" w:rsidRDefault="001556EB" w:rsidP="00F449D0">
      <w:pPr>
        <w:pStyle w:val="NormalWeb"/>
        <w:shd w:val="clear" w:color="auto" w:fill="FFFFFF"/>
        <w:spacing w:after="0" w:afterAutospacing="0"/>
        <w:jc w:val="both"/>
        <w:rPr>
          <w:sz w:val="20"/>
          <w:szCs w:val="20"/>
        </w:rPr>
      </w:pPr>
      <w:r w:rsidRPr="00645049">
        <w:rPr>
          <w:rStyle w:val="Strong"/>
          <w:sz w:val="20"/>
          <w:szCs w:val="20"/>
        </w:rPr>
        <w:t>d. Pouvoir décrire la stratégie des examens à effectuer devant chacune des anomalies listées ci-dessous et en indiquer l’intérêt diagnostique, pronostique et/ou thérapeutique</w:t>
      </w:r>
    </w:p>
    <w:p w:rsidR="001556EB" w:rsidRPr="00645049" w:rsidRDefault="001556EB" w:rsidP="00F449D0">
      <w:pPr>
        <w:pStyle w:val="NormalWeb"/>
        <w:numPr>
          <w:ilvl w:val="0"/>
          <w:numId w:val="8"/>
        </w:numPr>
        <w:shd w:val="clear" w:color="auto" w:fill="FFFFFF"/>
        <w:spacing w:before="0" w:beforeAutospacing="0"/>
        <w:ind w:left="714" w:hanging="357"/>
        <w:jc w:val="both"/>
        <w:rPr>
          <w:sz w:val="20"/>
          <w:szCs w:val="20"/>
        </w:rPr>
      </w:pPr>
      <w:r w:rsidRPr="00645049">
        <w:rPr>
          <w:sz w:val="20"/>
          <w:szCs w:val="20"/>
        </w:rPr>
        <w:t>anémies (selon VGM, réticulocytes, cytopénies éventuellement associées)</w:t>
      </w:r>
    </w:p>
    <w:p w:rsidR="001556EB" w:rsidRPr="00645049" w:rsidRDefault="001556EB" w:rsidP="00F449D0">
      <w:pPr>
        <w:pStyle w:val="NormalWeb"/>
        <w:numPr>
          <w:ilvl w:val="0"/>
          <w:numId w:val="8"/>
        </w:numPr>
        <w:shd w:val="clear" w:color="auto" w:fill="FFFFFF"/>
        <w:jc w:val="both"/>
        <w:rPr>
          <w:sz w:val="20"/>
          <w:szCs w:val="20"/>
        </w:rPr>
      </w:pPr>
      <w:r w:rsidRPr="00645049">
        <w:rPr>
          <w:sz w:val="20"/>
          <w:szCs w:val="20"/>
        </w:rPr>
        <w:t xml:space="preserve">leuco-neutropénies et thrombopénies    </w:t>
      </w:r>
    </w:p>
    <w:p w:rsidR="001556EB" w:rsidRPr="00645049" w:rsidRDefault="001556EB" w:rsidP="00F449D0">
      <w:pPr>
        <w:pStyle w:val="NormalWeb"/>
        <w:numPr>
          <w:ilvl w:val="0"/>
          <w:numId w:val="8"/>
        </w:numPr>
        <w:shd w:val="clear" w:color="auto" w:fill="FFFFFF"/>
        <w:jc w:val="both"/>
        <w:rPr>
          <w:sz w:val="20"/>
          <w:szCs w:val="20"/>
        </w:rPr>
      </w:pPr>
      <w:r w:rsidRPr="00645049">
        <w:rPr>
          <w:sz w:val="20"/>
          <w:szCs w:val="20"/>
        </w:rPr>
        <w:t>hyperleucocytoses avec polynucléose neutrophile</w:t>
      </w:r>
    </w:p>
    <w:p w:rsidR="001556EB" w:rsidRPr="00645049" w:rsidRDefault="001556EB" w:rsidP="00F449D0">
      <w:pPr>
        <w:pStyle w:val="NormalWeb"/>
        <w:numPr>
          <w:ilvl w:val="0"/>
          <w:numId w:val="8"/>
        </w:numPr>
        <w:shd w:val="clear" w:color="auto" w:fill="FFFFFF"/>
        <w:jc w:val="both"/>
        <w:rPr>
          <w:sz w:val="20"/>
          <w:szCs w:val="20"/>
        </w:rPr>
      </w:pPr>
      <w:r w:rsidRPr="00645049">
        <w:rPr>
          <w:sz w:val="20"/>
          <w:szCs w:val="20"/>
        </w:rPr>
        <w:t>hyperéosinophilie</w:t>
      </w:r>
    </w:p>
    <w:p w:rsidR="001556EB" w:rsidRPr="00645049" w:rsidRDefault="001556EB" w:rsidP="00F449D0">
      <w:pPr>
        <w:pStyle w:val="NormalWeb"/>
        <w:numPr>
          <w:ilvl w:val="0"/>
          <w:numId w:val="8"/>
        </w:numPr>
        <w:shd w:val="clear" w:color="auto" w:fill="FFFFFF"/>
        <w:jc w:val="both"/>
        <w:rPr>
          <w:sz w:val="20"/>
          <w:szCs w:val="20"/>
        </w:rPr>
      </w:pPr>
      <w:r w:rsidRPr="00645049">
        <w:rPr>
          <w:sz w:val="20"/>
          <w:szCs w:val="20"/>
        </w:rPr>
        <w:t>hyperlymphocytoses, en sachant reconnaître le caractère éventuellement atypique des éléments lymphoïdes ; savoir reconnaître un syndrome mononucléosique </w:t>
      </w:r>
    </w:p>
    <w:p w:rsidR="001556EB" w:rsidRPr="00645049" w:rsidRDefault="001556EB" w:rsidP="00F449D0">
      <w:pPr>
        <w:pStyle w:val="NormalWeb"/>
        <w:numPr>
          <w:ilvl w:val="0"/>
          <w:numId w:val="8"/>
        </w:numPr>
        <w:shd w:val="clear" w:color="auto" w:fill="FFFFFF"/>
        <w:jc w:val="both"/>
        <w:rPr>
          <w:sz w:val="20"/>
          <w:szCs w:val="20"/>
        </w:rPr>
      </w:pPr>
      <w:r w:rsidRPr="00645049">
        <w:rPr>
          <w:sz w:val="20"/>
          <w:szCs w:val="20"/>
        </w:rPr>
        <w:t xml:space="preserve">monocytose </w:t>
      </w:r>
    </w:p>
    <w:p w:rsidR="001556EB" w:rsidRPr="00645049" w:rsidRDefault="001556EB" w:rsidP="00F449D0">
      <w:pPr>
        <w:pStyle w:val="NormalWeb"/>
        <w:numPr>
          <w:ilvl w:val="0"/>
          <w:numId w:val="8"/>
        </w:numPr>
        <w:shd w:val="clear" w:color="auto" w:fill="FFFFFF"/>
        <w:jc w:val="both"/>
        <w:rPr>
          <w:sz w:val="20"/>
          <w:szCs w:val="20"/>
        </w:rPr>
      </w:pPr>
      <w:r w:rsidRPr="00645049">
        <w:rPr>
          <w:sz w:val="20"/>
          <w:szCs w:val="20"/>
        </w:rPr>
        <w:t>myélémie et érythro-myélémie</w:t>
      </w:r>
    </w:p>
    <w:p w:rsidR="001556EB" w:rsidRPr="00645049" w:rsidRDefault="001556EB" w:rsidP="00F449D0">
      <w:pPr>
        <w:pStyle w:val="NormalWeb"/>
        <w:numPr>
          <w:ilvl w:val="0"/>
          <w:numId w:val="8"/>
        </w:numPr>
        <w:shd w:val="clear" w:color="auto" w:fill="FFFFFF"/>
        <w:jc w:val="both"/>
        <w:rPr>
          <w:sz w:val="20"/>
          <w:szCs w:val="20"/>
        </w:rPr>
      </w:pPr>
      <w:r w:rsidRPr="00645049">
        <w:rPr>
          <w:sz w:val="20"/>
          <w:szCs w:val="20"/>
        </w:rPr>
        <w:t>blastose</w:t>
      </w:r>
    </w:p>
    <w:p w:rsidR="001556EB" w:rsidRPr="00645049" w:rsidRDefault="001556EB" w:rsidP="00F449D0">
      <w:pPr>
        <w:pStyle w:val="NormalWeb"/>
        <w:numPr>
          <w:ilvl w:val="0"/>
          <w:numId w:val="8"/>
        </w:numPr>
        <w:shd w:val="clear" w:color="auto" w:fill="FFFFFF"/>
        <w:jc w:val="both"/>
        <w:rPr>
          <w:sz w:val="20"/>
          <w:szCs w:val="20"/>
        </w:rPr>
      </w:pPr>
      <w:r w:rsidRPr="00645049">
        <w:rPr>
          <w:sz w:val="20"/>
          <w:szCs w:val="20"/>
        </w:rPr>
        <w:t>thrombocytose</w:t>
      </w:r>
    </w:p>
    <w:p w:rsidR="001556EB" w:rsidRPr="00645049" w:rsidRDefault="001556EB" w:rsidP="00F449D0">
      <w:pPr>
        <w:pStyle w:val="NormalWeb"/>
        <w:numPr>
          <w:ilvl w:val="0"/>
          <w:numId w:val="8"/>
        </w:numPr>
        <w:shd w:val="clear" w:color="auto" w:fill="FFFFFF"/>
        <w:jc w:val="both"/>
        <w:rPr>
          <w:sz w:val="20"/>
          <w:szCs w:val="20"/>
        </w:rPr>
      </w:pPr>
      <w:r w:rsidRPr="00645049">
        <w:rPr>
          <w:sz w:val="20"/>
          <w:szCs w:val="20"/>
        </w:rPr>
        <w:t>polyglobulie</w:t>
      </w:r>
    </w:p>
    <w:p w:rsidR="001556EB" w:rsidRPr="00645049" w:rsidRDefault="001556EB" w:rsidP="00F449D0">
      <w:pPr>
        <w:pStyle w:val="NormalWeb"/>
        <w:numPr>
          <w:ilvl w:val="0"/>
          <w:numId w:val="8"/>
        </w:numPr>
        <w:shd w:val="clear" w:color="auto" w:fill="FFFFFF"/>
        <w:jc w:val="both"/>
        <w:rPr>
          <w:sz w:val="20"/>
          <w:szCs w:val="20"/>
        </w:rPr>
      </w:pPr>
      <w:r w:rsidRPr="00645049">
        <w:rPr>
          <w:sz w:val="20"/>
          <w:szCs w:val="20"/>
        </w:rPr>
        <w:t>relier les anomalies hématologiques à un contexte de co-morbidités (inflammation, hépatopathies, troubles métaboliques...)</w:t>
      </w:r>
    </w:p>
    <w:p w:rsidR="001556EB" w:rsidRPr="00645049" w:rsidRDefault="001556EB" w:rsidP="00F449D0">
      <w:pPr>
        <w:pStyle w:val="Heading3"/>
        <w:shd w:val="clear" w:color="auto" w:fill="FFFFFF"/>
        <w:spacing w:before="0" w:after="0"/>
        <w:jc w:val="both"/>
        <w:rPr>
          <w:rFonts w:ascii="Times New Roman" w:hAnsi="Times New Roman" w:cs="Times New Roman"/>
          <w:sz w:val="20"/>
          <w:szCs w:val="20"/>
        </w:rPr>
      </w:pPr>
      <w:hyperlink r:id="rId10" w:anchor="outil_sommaire" w:tooltip="Sommaire" w:history="1">
        <w:r w:rsidRPr="00645049">
          <w:rPr>
            <w:rStyle w:val="Hyperlink"/>
            <w:rFonts w:ascii="Times New Roman" w:hAnsi="Times New Roman"/>
            <w:color w:val="auto"/>
            <w:sz w:val="20"/>
            <w:szCs w:val="20"/>
          </w:rPr>
          <w:t>1B.</w:t>
        </w:r>
      </w:hyperlink>
      <w:r w:rsidRPr="00645049">
        <w:rPr>
          <w:rFonts w:ascii="Times New Roman" w:hAnsi="Times New Roman" w:cs="Times New Roman"/>
          <w:sz w:val="20"/>
          <w:szCs w:val="20"/>
        </w:rPr>
        <w:t xml:space="preserve"> Module Hémostase</w:t>
      </w:r>
    </w:p>
    <w:p w:rsidR="001556EB" w:rsidRPr="00645049" w:rsidRDefault="001556EB" w:rsidP="00F449D0">
      <w:pPr>
        <w:pStyle w:val="NormalWeb"/>
        <w:shd w:val="clear" w:color="auto" w:fill="FFFFFF"/>
        <w:spacing w:before="0" w:beforeAutospacing="0" w:after="0" w:afterAutospacing="0"/>
        <w:ind w:firstLine="147"/>
        <w:jc w:val="both"/>
        <w:rPr>
          <w:sz w:val="20"/>
          <w:szCs w:val="20"/>
        </w:rPr>
      </w:pPr>
      <w:r w:rsidRPr="00645049">
        <w:rPr>
          <w:rStyle w:val="Strong"/>
          <w:sz w:val="20"/>
          <w:szCs w:val="20"/>
        </w:rPr>
        <w:t>e - Savoir faire et superviser</w:t>
      </w:r>
    </w:p>
    <w:p w:rsidR="001556EB" w:rsidRPr="00645049" w:rsidRDefault="001556EB" w:rsidP="00F449D0">
      <w:pPr>
        <w:pStyle w:val="NormalWeb"/>
        <w:shd w:val="clear" w:color="auto" w:fill="FFFFFF"/>
        <w:spacing w:before="0" w:beforeAutospacing="0" w:after="0" w:afterAutospacing="0"/>
        <w:ind w:firstLine="147"/>
        <w:jc w:val="both"/>
        <w:rPr>
          <w:sz w:val="20"/>
          <w:szCs w:val="20"/>
        </w:rPr>
      </w:pPr>
      <w:r w:rsidRPr="00645049">
        <w:rPr>
          <w:sz w:val="20"/>
          <w:szCs w:val="20"/>
        </w:rPr>
        <w:t>Le test PFA explorant l’hémostase primaire, en connaître les limites et l’interprétation.</w:t>
      </w:r>
    </w:p>
    <w:p w:rsidR="001556EB" w:rsidRPr="00645049" w:rsidRDefault="001556EB" w:rsidP="00F449D0">
      <w:pPr>
        <w:pStyle w:val="NormalWeb"/>
        <w:shd w:val="clear" w:color="auto" w:fill="FFFFFF"/>
        <w:spacing w:before="0" w:beforeAutospacing="0" w:after="0" w:afterAutospacing="0"/>
        <w:ind w:firstLine="147"/>
        <w:jc w:val="both"/>
        <w:rPr>
          <w:sz w:val="20"/>
          <w:szCs w:val="20"/>
        </w:rPr>
      </w:pPr>
      <w:r w:rsidRPr="00645049">
        <w:rPr>
          <w:sz w:val="20"/>
          <w:szCs w:val="20"/>
        </w:rPr>
        <w:t>Connaître le fonctionnement des automates ACL500 en usage dans le laboratoire.</w:t>
      </w:r>
    </w:p>
    <w:p w:rsidR="001556EB" w:rsidRPr="00645049" w:rsidRDefault="001556EB" w:rsidP="00F449D0">
      <w:pPr>
        <w:pStyle w:val="NormalWeb"/>
        <w:shd w:val="clear" w:color="auto" w:fill="FFFFFF"/>
        <w:spacing w:before="0" w:beforeAutospacing="0" w:after="0" w:afterAutospacing="0"/>
        <w:ind w:firstLine="147"/>
        <w:jc w:val="both"/>
        <w:rPr>
          <w:sz w:val="20"/>
          <w:szCs w:val="20"/>
        </w:rPr>
      </w:pPr>
    </w:p>
    <w:p w:rsidR="001556EB" w:rsidRPr="00645049" w:rsidRDefault="001556EB" w:rsidP="00F449D0">
      <w:pPr>
        <w:pStyle w:val="NormalWeb"/>
        <w:shd w:val="clear" w:color="auto" w:fill="FFFFFF"/>
        <w:spacing w:before="0" w:beforeAutospacing="0" w:after="0" w:afterAutospacing="0"/>
        <w:ind w:firstLine="147"/>
        <w:jc w:val="both"/>
        <w:rPr>
          <w:rStyle w:val="Strong"/>
          <w:sz w:val="20"/>
          <w:szCs w:val="20"/>
        </w:rPr>
      </w:pPr>
      <w:r w:rsidRPr="00645049">
        <w:rPr>
          <w:rStyle w:val="Strong"/>
          <w:sz w:val="20"/>
          <w:szCs w:val="20"/>
        </w:rPr>
        <w:t>f - Savoir utiliser et réaliser les tests de coagulation</w:t>
      </w:r>
    </w:p>
    <w:p w:rsidR="001556EB" w:rsidRPr="00645049" w:rsidRDefault="001556EB" w:rsidP="00F449D0">
      <w:pPr>
        <w:numPr>
          <w:ilvl w:val="0"/>
          <w:numId w:val="5"/>
        </w:numPr>
        <w:shd w:val="clear" w:color="auto" w:fill="FFFFFF"/>
        <w:jc w:val="both"/>
        <w:rPr>
          <w:sz w:val="20"/>
          <w:szCs w:val="20"/>
        </w:rPr>
      </w:pPr>
      <w:r w:rsidRPr="00645049">
        <w:rPr>
          <w:sz w:val="20"/>
          <w:szCs w:val="20"/>
        </w:rPr>
        <w:t>connaître les exigences de la phase pré-analytique (type de tube, délais, transport, conservation) et les non-conformités</w:t>
      </w:r>
    </w:p>
    <w:p w:rsidR="001556EB" w:rsidRPr="00645049" w:rsidRDefault="001556EB" w:rsidP="00F449D0">
      <w:pPr>
        <w:numPr>
          <w:ilvl w:val="0"/>
          <w:numId w:val="5"/>
        </w:numPr>
        <w:shd w:val="clear" w:color="auto" w:fill="FFFFFF"/>
        <w:jc w:val="both"/>
        <w:rPr>
          <w:sz w:val="20"/>
          <w:szCs w:val="20"/>
        </w:rPr>
      </w:pPr>
      <w:r w:rsidRPr="00645049">
        <w:rPr>
          <w:sz w:val="20"/>
          <w:szCs w:val="20"/>
        </w:rPr>
        <w:t>temps de Quick, calcul du TP et de l’INR</w:t>
      </w:r>
    </w:p>
    <w:p w:rsidR="001556EB" w:rsidRPr="00645049" w:rsidRDefault="001556EB" w:rsidP="00F449D0">
      <w:pPr>
        <w:numPr>
          <w:ilvl w:val="0"/>
          <w:numId w:val="5"/>
        </w:numPr>
        <w:shd w:val="clear" w:color="auto" w:fill="FFFFFF"/>
        <w:jc w:val="both"/>
        <w:rPr>
          <w:sz w:val="20"/>
          <w:szCs w:val="20"/>
        </w:rPr>
      </w:pPr>
      <w:r w:rsidRPr="00645049">
        <w:rPr>
          <w:sz w:val="20"/>
          <w:szCs w:val="20"/>
        </w:rPr>
        <w:t>temps de céphaline avec activateur</w:t>
      </w:r>
    </w:p>
    <w:p w:rsidR="001556EB" w:rsidRPr="00645049" w:rsidRDefault="001556EB" w:rsidP="00F449D0">
      <w:pPr>
        <w:numPr>
          <w:ilvl w:val="0"/>
          <w:numId w:val="5"/>
        </w:numPr>
        <w:shd w:val="clear" w:color="auto" w:fill="FFFFFF"/>
        <w:jc w:val="both"/>
        <w:rPr>
          <w:sz w:val="20"/>
          <w:szCs w:val="20"/>
        </w:rPr>
      </w:pPr>
      <w:r w:rsidRPr="00645049">
        <w:rPr>
          <w:sz w:val="20"/>
          <w:szCs w:val="20"/>
        </w:rPr>
        <w:t>dosage chronométrique du fibrinogène, en situant cette technique par rapport aux autres méthodes proposées</w:t>
      </w:r>
    </w:p>
    <w:p w:rsidR="001556EB" w:rsidRPr="00645049" w:rsidRDefault="001556EB" w:rsidP="00F449D0">
      <w:pPr>
        <w:numPr>
          <w:ilvl w:val="0"/>
          <w:numId w:val="5"/>
        </w:numPr>
        <w:shd w:val="clear" w:color="auto" w:fill="FFFFFF"/>
        <w:jc w:val="both"/>
        <w:rPr>
          <w:sz w:val="20"/>
          <w:szCs w:val="20"/>
        </w:rPr>
      </w:pPr>
      <w:r w:rsidRPr="00645049">
        <w:rPr>
          <w:sz w:val="20"/>
          <w:szCs w:val="20"/>
        </w:rPr>
        <w:t>temps de thrombine pour l’exploration de la fibrino-formation</w:t>
      </w:r>
    </w:p>
    <w:p w:rsidR="001556EB" w:rsidRPr="00645049" w:rsidRDefault="001556EB" w:rsidP="00F449D0">
      <w:pPr>
        <w:numPr>
          <w:ilvl w:val="0"/>
          <w:numId w:val="5"/>
        </w:numPr>
        <w:shd w:val="clear" w:color="auto" w:fill="FFFFFF"/>
        <w:jc w:val="both"/>
        <w:rPr>
          <w:sz w:val="20"/>
          <w:szCs w:val="20"/>
        </w:rPr>
      </w:pPr>
      <w:r w:rsidRPr="00645049">
        <w:rPr>
          <w:sz w:val="20"/>
          <w:szCs w:val="20"/>
        </w:rPr>
        <w:t>dosage de l’héparinémie (héparine standard et HBPM) par la mesure de l’activité anti-Xa par méthode chromogénique</w:t>
      </w:r>
    </w:p>
    <w:p w:rsidR="001556EB" w:rsidRPr="00645049" w:rsidRDefault="001556EB" w:rsidP="00F449D0">
      <w:pPr>
        <w:numPr>
          <w:ilvl w:val="0"/>
          <w:numId w:val="5"/>
        </w:numPr>
        <w:shd w:val="clear" w:color="auto" w:fill="FFFFFF"/>
        <w:jc w:val="both"/>
        <w:rPr>
          <w:sz w:val="20"/>
          <w:szCs w:val="20"/>
        </w:rPr>
      </w:pPr>
      <w:r w:rsidRPr="00645049">
        <w:rPr>
          <w:sz w:val="20"/>
          <w:szCs w:val="20"/>
        </w:rPr>
        <w:t xml:space="preserve">recherche d’un anticoagulant circulant </w:t>
      </w:r>
    </w:p>
    <w:p w:rsidR="001556EB" w:rsidRPr="00645049" w:rsidRDefault="001556EB" w:rsidP="00F449D0">
      <w:pPr>
        <w:numPr>
          <w:ilvl w:val="0"/>
          <w:numId w:val="5"/>
        </w:numPr>
        <w:shd w:val="clear" w:color="auto" w:fill="FFFFFF"/>
        <w:jc w:val="both"/>
        <w:rPr>
          <w:sz w:val="20"/>
          <w:szCs w:val="20"/>
        </w:rPr>
      </w:pPr>
      <w:r w:rsidRPr="00645049">
        <w:rPr>
          <w:sz w:val="20"/>
          <w:szCs w:val="20"/>
        </w:rPr>
        <w:t>dosage des facteurs de la coagulation : facteurs II, VII, X, V, VIII, IX, XI et XII.</w:t>
      </w:r>
    </w:p>
    <w:p w:rsidR="001556EB" w:rsidRPr="00645049" w:rsidRDefault="001556EB" w:rsidP="00F449D0">
      <w:pPr>
        <w:numPr>
          <w:ilvl w:val="0"/>
          <w:numId w:val="5"/>
        </w:numPr>
        <w:shd w:val="clear" w:color="auto" w:fill="FFFFFF"/>
        <w:jc w:val="both"/>
        <w:rPr>
          <w:sz w:val="20"/>
          <w:szCs w:val="20"/>
        </w:rPr>
      </w:pPr>
      <w:r w:rsidRPr="00645049">
        <w:rPr>
          <w:sz w:val="20"/>
          <w:szCs w:val="20"/>
        </w:rPr>
        <w:t>Dosage des D-dimères</w:t>
      </w:r>
    </w:p>
    <w:p w:rsidR="001556EB" w:rsidRPr="00645049" w:rsidRDefault="001556EB" w:rsidP="00F449D0">
      <w:pPr>
        <w:shd w:val="clear" w:color="auto" w:fill="FFFFFF"/>
        <w:ind w:left="360"/>
        <w:jc w:val="both"/>
        <w:rPr>
          <w:sz w:val="20"/>
          <w:szCs w:val="20"/>
        </w:rPr>
      </w:pPr>
    </w:p>
    <w:p w:rsidR="001556EB" w:rsidRPr="00645049" w:rsidRDefault="001556EB" w:rsidP="00F449D0">
      <w:pPr>
        <w:pStyle w:val="NormalWeb"/>
        <w:shd w:val="clear" w:color="auto" w:fill="FFFFFF"/>
        <w:spacing w:before="0" w:beforeAutospacing="0" w:after="0" w:afterAutospacing="0"/>
        <w:ind w:left="147"/>
        <w:jc w:val="both"/>
        <w:rPr>
          <w:sz w:val="20"/>
          <w:szCs w:val="20"/>
        </w:rPr>
      </w:pPr>
      <w:r w:rsidRPr="00645049">
        <w:rPr>
          <w:rStyle w:val="Strong"/>
          <w:sz w:val="20"/>
          <w:szCs w:val="20"/>
        </w:rPr>
        <w:t xml:space="preserve">g - Savoir superviser et critiquer </w:t>
      </w:r>
      <w:r w:rsidRPr="00645049">
        <w:rPr>
          <w:sz w:val="20"/>
          <w:szCs w:val="20"/>
        </w:rPr>
        <w:t>les éléments du choix des réactifs, thromboplastines,     céphalines avec, en particulier, les positions respectives sur le plan de la sensibilité aux déficits constitutionnels et au retentissement biologique des traitements antithrombotiques</w:t>
      </w:r>
    </w:p>
    <w:p w:rsidR="001556EB" w:rsidRPr="00645049" w:rsidRDefault="001556EB" w:rsidP="00F449D0">
      <w:pPr>
        <w:pStyle w:val="NormalWeb"/>
        <w:shd w:val="clear" w:color="auto" w:fill="FFFFFF"/>
        <w:spacing w:before="0" w:beforeAutospacing="0" w:after="0" w:afterAutospacing="0"/>
        <w:ind w:firstLine="147"/>
        <w:jc w:val="both"/>
        <w:rPr>
          <w:sz w:val="20"/>
          <w:szCs w:val="20"/>
        </w:rPr>
      </w:pPr>
    </w:p>
    <w:p w:rsidR="001556EB" w:rsidRPr="00645049" w:rsidRDefault="001556EB" w:rsidP="00F449D0">
      <w:pPr>
        <w:pStyle w:val="NormalWeb"/>
        <w:shd w:val="clear" w:color="auto" w:fill="FFFFFF"/>
        <w:spacing w:before="0" w:beforeAutospacing="0" w:after="0" w:afterAutospacing="0"/>
        <w:ind w:firstLine="147"/>
        <w:jc w:val="both"/>
        <w:rPr>
          <w:rStyle w:val="Strong"/>
          <w:sz w:val="20"/>
          <w:szCs w:val="20"/>
        </w:rPr>
      </w:pPr>
      <w:r w:rsidRPr="00645049">
        <w:rPr>
          <w:rStyle w:val="Strong"/>
          <w:sz w:val="20"/>
          <w:szCs w:val="20"/>
        </w:rPr>
        <w:t>h - Savoir interpréter et orienter</w:t>
      </w:r>
    </w:p>
    <w:p w:rsidR="001556EB" w:rsidRPr="00645049" w:rsidRDefault="001556EB" w:rsidP="00F449D0">
      <w:pPr>
        <w:pStyle w:val="NormalWeb"/>
        <w:numPr>
          <w:ilvl w:val="0"/>
          <w:numId w:val="9"/>
        </w:numPr>
        <w:shd w:val="clear" w:color="auto" w:fill="FFFFFF"/>
        <w:spacing w:before="0" w:beforeAutospacing="0" w:after="0" w:afterAutospacing="0"/>
        <w:ind w:left="772"/>
        <w:jc w:val="both"/>
        <w:rPr>
          <w:sz w:val="20"/>
          <w:szCs w:val="20"/>
        </w:rPr>
      </w:pPr>
      <w:r w:rsidRPr="00645049">
        <w:rPr>
          <w:sz w:val="20"/>
          <w:szCs w:val="20"/>
        </w:rPr>
        <w:t>l’évaluation pré-opératoire de l’hémostase</w:t>
      </w:r>
    </w:p>
    <w:p w:rsidR="001556EB" w:rsidRPr="00645049" w:rsidRDefault="001556EB" w:rsidP="00F449D0">
      <w:pPr>
        <w:pStyle w:val="NormalWeb"/>
        <w:numPr>
          <w:ilvl w:val="0"/>
          <w:numId w:val="9"/>
        </w:numPr>
        <w:shd w:val="clear" w:color="auto" w:fill="FFFFFF"/>
        <w:jc w:val="both"/>
        <w:rPr>
          <w:sz w:val="20"/>
          <w:szCs w:val="20"/>
        </w:rPr>
      </w:pPr>
      <w:r w:rsidRPr="00645049">
        <w:rPr>
          <w:sz w:val="20"/>
          <w:szCs w:val="20"/>
        </w:rPr>
        <w:t>la surveillance biologique des traitements antithrombotiques (héparines, antagonistes de la vitamine K) : choix des tests et des systèmes analytiques, interprétation des résultats : notion d’indication, de zones thérapeutiques, de sur- ou sous-dosage et conduite à tenir en fonction des résultats</w:t>
      </w:r>
    </w:p>
    <w:p w:rsidR="001556EB" w:rsidRPr="00645049" w:rsidRDefault="001556EB" w:rsidP="00F449D0">
      <w:pPr>
        <w:pStyle w:val="NormalWeb"/>
        <w:numPr>
          <w:ilvl w:val="0"/>
          <w:numId w:val="9"/>
        </w:numPr>
        <w:shd w:val="clear" w:color="auto" w:fill="FFFFFF"/>
        <w:jc w:val="both"/>
        <w:rPr>
          <w:sz w:val="20"/>
          <w:szCs w:val="20"/>
        </w:rPr>
      </w:pPr>
      <w:r w:rsidRPr="00645049">
        <w:rPr>
          <w:sz w:val="20"/>
          <w:szCs w:val="20"/>
        </w:rPr>
        <w:t>les anomalies du bilan d’hémostase de dépistage : allongement du TCA, du temps de Quick </w:t>
      </w:r>
    </w:p>
    <w:p w:rsidR="001556EB" w:rsidRPr="00645049" w:rsidRDefault="001556EB" w:rsidP="00F449D0">
      <w:pPr>
        <w:pStyle w:val="NormalWeb"/>
        <w:numPr>
          <w:ilvl w:val="0"/>
          <w:numId w:val="9"/>
        </w:numPr>
        <w:shd w:val="clear" w:color="auto" w:fill="FFFFFF"/>
        <w:jc w:val="both"/>
        <w:rPr>
          <w:sz w:val="20"/>
          <w:szCs w:val="20"/>
        </w:rPr>
      </w:pPr>
      <w:r w:rsidRPr="00645049">
        <w:rPr>
          <w:sz w:val="20"/>
          <w:szCs w:val="20"/>
        </w:rPr>
        <w:t>les tests de laboratoire utilisés pour l’exploration d’une thrombophilie</w:t>
      </w:r>
    </w:p>
    <w:p w:rsidR="001556EB" w:rsidRPr="00645049" w:rsidRDefault="001556EB" w:rsidP="00F449D0">
      <w:pPr>
        <w:pStyle w:val="Heading3"/>
        <w:shd w:val="clear" w:color="auto" w:fill="FFFFFF"/>
        <w:spacing w:before="0" w:after="0"/>
        <w:jc w:val="both"/>
        <w:rPr>
          <w:rFonts w:ascii="Times New Roman" w:hAnsi="Times New Roman" w:cs="Times New Roman"/>
          <w:sz w:val="20"/>
          <w:szCs w:val="20"/>
        </w:rPr>
      </w:pPr>
      <w:r w:rsidRPr="00645049">
        <w:rPr>
          <w:rFonts w:ascii="Times New Roman" w:hAnsi="Times New Roman" w:cs="Times New Roman"/>
          <w:sz w:val="20"/>
          <w:szCs w:val="20"/>
        </w:rPr>
        <w:t>1C</w:t>
      </w:r>
      <w:hyperlink r:id="rId11" w:anchor="outil_sommaire" w:tooltip="Sommaire" w:history="1">
        <w:r w:rsidRPr="00645049">
          <w:rPr>
            <w:rStyle w:val="Hyperlink"/>
            <w:rFonts w:ascii="Times New Roman" w:hAnsi="Times New Roman"/>
            <w:color w:val="auto"/>
            <w:sz w:val="20"/>
            <w:szCs w:val="20"/>
          </w:rPr>
          <w:t>.</w:t>
        </w:r>
      </w:hyperlink>
      <w:r w:rsidRPr="00645049">
        <w:rPr>
          <w:rFonts w:ascii="Times New Roman" w:hAnsi="Times New Roman" w:cs="Times New Roman"/>
          <w:sz w:val="20"/>
          <w:szCs w:val="20"/>
        </w:rPr>
        <w:t xml:space="preserve"> Module Immunohématologie</w:t>
      </w:r>
    </w:p>
    <w:p w:rsidR="001556EB" w:rsidRPr="00645049" w:rsidRDefault="001556EB" w:rsidP="00F449D0">
      <w:pPr>
        <w:pStyle w:val="Heading3"/>
        <w:shd w:val="clear" w:color="auto" w:fill="FFFFFF"/>
        <w:spacing w:before="0" w:after="0"/>
        <w:jc w:val="both"/>
        <w:rPr>
          <w:rFonts w:ascii="Times New Roman" w:hAnsi="Times New Roman" w:cs="Times New Roman"/>
          <w:sz w:val="20"/>
          <w:szCs w:val="20"/>
        </w:rPr>
      </w:pPr>
    </w:p>
    <w:p w:rsidR="001556EB" w:rsidRPr="00645049" w:rsidRDefault="001556EB" w:rsidP="00F449D0">
      <w:pPr>
        <w:pStyle w:val="NormalWeb"/>
        <w:shd w:val="clear" w:color="auto" w:fill="FFFFFF"/>
        <w:spacing w:before="0" w:beforeAutospacing="0" w:after="0" w:afterAutospacing="0"/>
        <w:ind w:firstLine="150"/>
        <w:jc w:val="both"/>
        <w:rPr>
          <w:rStyle w:val="Strong"/>
          <w:sz w:val="20"/>
          <w:szCs w:val="20"/>
        </w:rPr>
      </w:pPr>
      <w:r w:rsidRPr="00645049">
        <w:rPr>
          <w:rStyle w:val="Strong"/>
          <w:sz w:val="20"/>
          <w:szCs w:val="20"/>
        </w:rPr>
        <w:t>i - Savoir faire et superviser</w:t>
      </w:r>
    </w:p>
    <w:p w:rsidR="001556EB" w:rsidRPr="00645049" w:rsidRDefault="001556EB" w:rsidP="00F449D0">
      <w:pPr>
        <w:pStyle w:val="NormalWeb"/>
        <w:numPr>
          <w:ilvl w:val="0"/>
          <w:numId w:val="10"/>
        </w:numPr>
        <w:shd w:val="clear" w:color="auto" w:fill="FFFFFF"/>
        <w:spacing w:before="0" w:beforeAutospacing="0" w:after="0" w:afterAutospacing="0"/>
        <w:jc w:val="both"/>
        <w:rPr>
          <w:sz w:val="20"/>
          <w:szCs w:val="20"/>
        </w:rPr>
      </w:pPr>
      <w:r w:rsidRPr="00645049">
        <w:rPr>
          <w:sz w:val="20"/>
          <w:szCs w:val="20"/>
        </w:rPr>
        <w:t>la détermination du phénotype érythrocytaire dans les systèmes ABO, Rh et Kell  des groupes sanguins ABO Rh standard par les diverses techniques en usage dans le laboratoire : gel-filtration, automate Galileo®</w:t>
      </w:r>
    </w:p>
    <w:p w:rsidR="001556EB" w:rsidRPr="00645049" w:rsidRDefault="001556EB" w:rsidP="00F449D0">
      <w:pPr>
        <w:pStyle w:val="NormalWeb"/>
        <w:numPr>
          <w:ilvl w:val="0"/>
          <w:numId w:val="10"/>
        </w:numPr>
        <w:shd w:val="clear" w:color="auto" w:fill="FFFFFF"/>
        <w:spacing w:before="0" w:beforeAutospacing="0" w:after="0" w:afterAutospacing="0"/>
        <w:jc w:val="both"/>
        <w:rPr>
          <w:sz w:val="20"/>
          <w:szCs w:val="20"/>
        </w:rPr>
      </w:pPr>
      <w:r w:rsidRPr="00645049">
        <w:rPr>
          <w:sz w:val="20"/>
          <w:szCs w:val="20"/>
        </w:rPr>
        <w:t>la recherche d’agglutinines irrégulières </w:t>
      </w:r>
    </w:p>
    <w:p w:rsidR="001556EB" w:rsidRPr="00645049" w:rsidRDefault="001556EB" w:rsidP="00F449D0">
      <w:pPr>
        <w:pStyle w:val="NormalWeb"/>
        <w:numPr>
          <w:ilvl w:val="0"/>
          <w:numId w:val="10"/>
        </w:numPr>
        <w:shd w:val="clear" w:color="auto" w:fill="FFFFFF"/>
        <w:spacing w:before="0" w:beforeAutospacing="0" w:after="0" w:afterAutospacing="0"/>
        <w:jc w:val="both"/>
        <w:rPr>
          <w:sz w:val="20"/>
          <w:szCs w:val="20"/>
        </w:rPr>
      </w:pPr>
      <w:r w:rsidRPr="00645049">
        <w:rPr>
          <w:sz w:val="20"/>
          <w:szCs w:val="20"/>
        </w:rPr>
        <w:t>le test de Coombs direct</w:t>
      </w:r>
    </w:p>
    <w:p w:rsidR="001556EB" w:rsidRPr="00645049" w:rsidRDefault="001556EB" w:rsidP="00F449D0">
      <w:pPr>
        <w:pStyle w:val="NormalWeb"/>
        <w:shd w:val="clear" w:color="auto" w:fill="FFFFFF"/>
        <w:spacing w:before="0" w:beforeAutospacing="0" w:after="0" w:afterAutospacing="0"/>
        <w:ind w:left="487"/>
        <w:jc w:val="both"/>
        <w:rPr>
          <w:sz w:val="20"/>
          <w:szCs w:val="20"/>
        </w:rPr>
      </w:pPr>
    </w:p>
    <w:p w:rsidR="001556EB" w:rsidRPr="00645049" w:rsidRDefault="001556EB" w:rsidP="00F449D0">
      <w:pPr>
        <w:pStyle w:val="NormalWeb"/>
        <w:shd w:val="clear" w:color="auto" w:fill="FFFFFF"/>
        <w:spacing w:before="0" w:beforeAutospacing="0" w:after="0" w:afterAutospacing="0"/>
        <w:ind w:firstLine="147"/>
        <w:jc w:val="both"/>
        <w:rPr>
          <w:sz w:val="20"/>
          <w:szCs w:val="20"/>
        </w:rPr>
      </w:pPr>
      <w:r w:rsidRPr="00645049">
        <w:rPr>
          <w:rStyle w:val="Strong"/>
          <w:sz w:val="20"/>
          <w:szCs w:val="20"/>
        </w:rPr>
        <w:t>j - Connaître</w:t>
      </w:r>
    </w:p>
    <w:p w:rsidR="001556EB" w:rsidRPr="00645049" w:rsidRDefault="001556EB" w:rsidP="00F449D0">
      <w:pPr>
        <w:pStyle w:val="NormalWeb"/>
        <w:numPr>
          <w:ilvl w:val="0"/>
          <w:numId w:val="11"/>
        </w:numPr>
        <w:shd w:val="clear" w:color="auto" w:fill="FFFFFF"/>
        <w:spacing w:before="0" w:beforeAutospacing="0" w:after="0" w:afterAutospacing="0"/>
        <w:jc w:val="both"/>
        <w:rPr>
          <w:sz w:val="20"/>
          <w:szCs w:val="20"/>
        </w:rPr>
      </w:pPr>
      <w:r w:rsidRPr="00645049">
        <w:rPr>
          <w:sz w:val="20"/>
          <w:szCs w:val="20"/>
        </w:rPr>
        <w:t>le fonctionnement du logiciel dédié Inlog®</w:t>
      </w:r>
    </w:p>
    <w:p w:rsidR="001556EB" w:rsidRPr="00645049" w:rsidRDefault="001556EB" w:rsidP="00F449D0">
      <w:pPr>
        <w:pStyle w:val="NormalWeb"/>
        <w:numPr>
          <w:ilvl w:val="0"/>
          <w:numId w:val="11"/>
        </w:numPr>
        <w:shd w:val="clear" w:color="auto" w:fill="FFFFFF"/>
        <w:spacing w:before="0" w:beforeAutospacing="0" w:after="0" w:afterAutospacing="0"/>
        <w:jc w:val="both"/>
        <w:rPr>
          <w:sz w:val="20"/>
          <w:szCs w:val="20"/>
        </w:rPr>
      </w:pPr>
      <w:r w:rsidRPr="00645049">
        <w:rPr>
          <w:sz w:val="20"/>
          <w:szCs w:val="20"/>
        </w:rPr>
        <w:t>la procédure de consultation du dossier transfusionnel</w:t>
      </w:r>
    </w:p>
    <w:p w:rsidR="001556EB" w:rsidRPr="00645049" w:rsidRDefault="001556EB" w:rsidP="00F449D0">
      <w:pPr>
        <w:pStyle w:val="NormalWeb"/>
        <w:numPr>
          <w:ilvl w:val="0"/>
          <w:numId w:val="11"/>
        </w:numPr>
        <w:shd w:val="clear" w:color="auto" w:fill="FFFFFF"/>
        <w:spacing w:before="0" w:beforeAutospacing="0" w:after="0" w:afterAutospacing="0"/>
        <w:jc w:val="both"/>
        <w:rPr>
          <w:sz w:val="20"/>
          <w:szCs w:val="20"/>
        </w:rPr>
      </w:pPr>
      <w:r w:rsidRPr="00645049">
        <w:rPr>
          <w:sz w:val="20"/>
          <w:szCs w:val="20"/>
        </w:rPr>
        <w:t>les mesures à prendre en cas d’incident ou accident de la transfusion</w:t>
      </w:r>
    </w:p>
    <w:p w:rsidR="001556EB" w:rsidRPr="00645049" w:rsidRDefault="001556EB" w:rsidP="00F449D0">
      <w:pPr>
        <w:pStyle w:val="NormalWeb"/>
        <w:numPr>
          <w:ilvl w:val="0"/>
          <w:numId w:val="11"/>
        </w:numPr>
        <w:shd w:val="clear" w:color="auto" w:fill="FFFFFF"/>
        <w:spacing w:before="0" w:beforeAutospacing="0" w:after="0" w:afterAutospacing="0"/>
        <w:jc w:val="both"/>
        <w:rPr>
          <w:sz w:val="20"/>
          <w:szCs w:val="20"/>
        </w:rPr>
      </w:pPr>
      <w:r w:rsidRPr="00645049">
        <w:rPr>
          <w:sz w:val="20"/>
          <w:szCs w:val="20"/>
        </w:rPr>
        <w:t xml:space="preserve">la réglementation en matière d’immunohématologie prétransfusionnelle   </w:t>
      </w:r>
    </w:p>
    <w:p w:rsidR="001556EB" w:rsidRPr="00645049" w:rsidRDefault="001556EB" w:rsidP="00F449D0">
      <w:pPr>
        <w:pStyle w:val="NormalWeb"/>
        <w:numPr>
          <w:ilvl w:val="0"/>
          <w:numId w:val="11"/>
        </w:numPr>
        <w:shd w:val="clear" w:color="auto" w:fill="FFFFFF"/>
        <w:spacing w:before="0" w:beforeAutospacing="0" w:after="0" w:afterAutospacing="0"/>
        <w:jc w:val="both"/>
        <w:rPr>
          <w:sz w:val="20"/>
          <w:szCs w:val="20"/>
        </w:rPr>
      </w:pPr>
      <w:r w:rsidRPr="00645049">
        <w:rPr>
          <w:sz w:val="20"/>
          <w:szCs w:val="20"/>
        </w:rPr>
        <w:t>la surveillance immunohématologique au cours de la grossesse</w:t>
      </w:r>
    </w:p>
    <w:p w:rsidR="001556EB" w:rsidRPr="00645049" w:rsidRDefault="001556EB" w:rsidP="00F449D0">
      <w:pPr>
        <w:pStyle w:val="NormalWeb"/>
        <w:shd w:val="clear" w:color="auto" w:fill="FFFFFF"/>
        <w:spacing w:before="0" w:beforeAutospacing="0" w:after="0" w:afterAutospacing="0"/>
        <w:ind w:left="487"/>
        <w:jc w:val="both"/>
        <w:rPr>
          <w:sz w:val="20"/>
          <w:szCs w:val="20"/>
        </w:rPr>
      </w:pPr>
    </w:p>
    <w:p w:rsidR="001556EB" w:rsidRPr="00645049" w:rsidRDefault="001556EB" w:rsidP="00F449D0">
      <w:pPr>
        <w:pStyle w:val="NormalWeb"/>
        <w:shd w:val="clear" w:color="auto" w:fill="FFFFFF"/>
        <w:spacing w:before="0" w:beforeAutospacing="0" w:after="0" w:afterAutospacing="0"/>
        <w:ind w:firstLine="147"/>
        <w:jc w:val="both"/>
        <w:rPr>
          <w:rStyle w:val="Strong"/>
          <w:sz w:val="20"/>
          <w:szCs w:val="20"/>
        </w:rPr>
      </w:pPr>
      <w:r w:rsidRPr="00645049">
        <w:rPr>
          <w:rStyle w:val="Strong"/>
          <w:sz w:val="20"/>
          <w:szCs w:val="20"/>
        </w:rPr>
        <w:t>k - Formation pratique</w:t>
      </w:r>
    </w:p>
    <w:p w:rsidR="001556EB" w:rsidRPr="00645049" w:rsidRDefault="001556EB" w:rsidP="00F449D0">
      <w:pPr>
        <w:pStyle w:val="NormalWeb"/>
        <w:numPr>
          <w:ilvl w:val="0"/>
          <w:numId w:val="12"/>
        </w:numPr>
        <w:shd w:val="clear" w:color="auto" w:fill="FFFFFF"/>
        <w:spacing w:before="0" w:beforeAutospacing="0" w:after="0" w:afterAutospacing="0"/>
        <w:jc w:val="both"/>
        <w:rPr>
          <w:sz w:val="20"/>
          <w:szCs w:val="20"/>
        </w:rPr>
      </w:pPr>
      <w:r w:rsidRPr="00645049">
        <w:rPr>
          <w:sz w:val="20"/>
          <w:szCs w:val="20"/>
        </w:rPr>
        <w:t>Préparation à assurer les gardes dans le secteur d’immuno-hématologie (procédures de prescription, analyses pré-transfusionnelles, délivrance)</w:t>
      </w:r>
    </w:p>
    <w:p w:rsidR="001556EB" w:rsidRPr="00645049" w:rsidRDefault="001556EB" w:rsidP="00F449D0">
      <w:pPr>
        <w:jc w:val="both"/>
        <w:rPr>
          <w:b/>
          <w:sz w:val="20"/>
          <w:szCs w:val="20"/>
        </w:rPr>
      </w:pPr>
    </w:p>
    <w:p w:rsidR="001556EB" w:rsidRPr="00645049" w:rsidRDefault="001556EB" w:rsidP="00F449D0">
      <w:pPr>
        <w:jc w:val="both"/>
        <w:rPr>
          <w:b/>
          <w:sz w:val="20"/>
          <w:szCs w:val="20"/>
        </w:rPr>
      </w:pPr>
    </w:p>
    <w:p w:rsidR="001556EB" w:rsidRPr="00645049" w:rsidRDefault="001556EB" w:rsidP="00F449D0">
      <w:pPr>
        <w:jc w:val="both"/>
        <w:rPr>
          <w:b/>
          <w:sz w:val="20"/>
          <w:szCs w:val="20"/>
          <w:u w:val="single"/>
        </w:rPr>
      </w:pPr>
      <w:r w:rsidRPr="00645049">
        <w:rPr>
          <w:b/>
          <w:sz w:val="20"/>
          <w:szCs w:val="20"/>
          <w:u w:val="single"/>
        </w:rPr>
        <w:t>2) Internes de NIVEAU 2</w:t>
      </w:r>
    </w:p>
    <w:p w:rsidR="001556EB" w:rsidRPr="00645049" w:rsidRDefault="001556EB" w:rsidP="00F449D0">
      <w:pPr>
        <w:jc w:val="both"/>
        <w:rPr>
          <w:sz w:val="20"/>
          <w:szCs w:val="20"/>
        </w:rPr>
      </w:pPr>
    </w:p>
    <w:p w:rsidR="001556EB" w:rsidRPr="00645049" w:rsidRDefault="001556EB" w:rsidP="00F449D0">
      <w:pPr>
        <w:jc w:val="both"/>
        <w:rPr>
          <w:sz w:val="20"/>
          <w:szCs w:val="20"/>
        </w:rPr>
      </w:pPr>
      <w:r w:rsidRPr="00645049">
        <w:rPr>
          <w:sz w:val="20"/>
          <w:szCs w:val="20"/>
        </w:rPr>
        <w:t>En plus des objectifs de niveau 1 du DES de biologie médicale,</w:t>
      </w:r>
    </w:p>
    <w:p w:rsidR="001556EB" w:rsidRPr="00645049" w:rsidRDefault="001556EB" w:rsidP="00F449D0">
      <w:pPr>
        <w:ind w:left="147"/>
        <w:jc w:val="both"/>
        <w:rPr>
          <w:sz w:val="20"/>
          <w:szCs w:val="20"/>
        </w:rPr>
      </w:pPr>
      <w:r w:rsidRPr="00645049">
        <w:rPr>
          <w:sz w:val="20"/>
          <w:szCs w:val="20"/>
        </w:rPr>
        <w:br/>
        <w:t xml:space="preserve">1) </w:t>
      </w:r>
      <w:r w:rsidRPr="00645049">
        <w:rPr>
          <w:b/>
          <w:sz w:val="20"/>
          <w:szCs w:val="20"/>
        </w:rPr>
        <w:t>Savoir interpréter, orienter et réaliser les examens suivants</w:t>
      </w:r>
      <w:r w:rsidRPr="00645049">
        <w:rPr>
          <w:sz w:val="20"/>
          <w:szCs w:val="20"/>
        </w:rPr>
        <w:t xml:space="preserve"> </w:t>
      </w:r>
    </w:p>
    <w:p w:rsidR="001556EB" w:rsidRPr="00645049" w:rsidRDefault="001556EB" w:rsidP="00F449D0">
      <w:pPr>
        <w:numPr>
          <w:ilvl w:val="0"/>
          <w:numId w:val="12"/>
        </w:numPr>
        <w:jc w:val="both"/>
        <w:rPr>
          <w:sz w:val="20"/>
          <w:szCs w:val="20"/>
        </w:rPr>
      </w:pPr>
      <w:r w:rsidRPr="00645049">
        <w:rPr>
          <w:sz w:val="20"/>
          <w:szCs w:val="20"/>
        </w:rPr>
        <w:t>examen de la moelle osseuse et des ganglions réactionnels ou tumoraux ; réalisation de coloration cytochimiques (myélo-perocydase, Perls)</w:t>
      </w:r>
    </w:p>
    <w:p w:rsidR="001556EB" w:rsidRPr="00645049" w:rsidRDefault="001556EB" w:rsidP="00F449D0">
      <w:pPr>
        <w:numPr>
          <w:ilvl w:val="0"/>
          <w:numId w:val="12"/>
        </w:numPr>
        <w:jc w:val="both"/>
        <w:rPr>
          <w:sz w:val="20"/>
          <w:szCs w:val="20"/>
        </w:rPr>
      </w:pPr>
      <w:r w:rsidRPr="00645049">
        <w:rPr>
          <w:sz w:val="20"/>
          <w:szCs w:val="20"/>
        </w:rPr>
        <w:t xml:space="preserve">analyse en cytométrie en flux des hémopathies lymphoïdes chroniques et des hémopathies aiguës </w:t>
      </w:r>
    </w:p>
    <w:p w:rsidR="001556EB" w:rsidRPr="00645049" w:rsidRDefault="001556EB" w:rsidP="00F449D0">
      <w:pPr>
        <w:numPr>
          <w:ilvl w:val="0"/>
          <w:numId w:val="12"/>
        </w:numPr>
        <w:jc w:val="both"/>
        <w:rPr>
          <w:sz w:val="20"/>
          <w:szCs w:val="20"/>
        </w:rPr>
      </w:pPr>
      <w:r w:rsidRPr="00645049">
        <w:rPr>
          <w:sz w:val="20"/>
          <w:szCs w:val="20"/>
        </w:rPr>
        <w:t>analyse de l’agrégabilité plaquettaire sur l’appareil Multiplate™</w:t>
      </w:r>
    </w:p>
    <w:p w:rsidR="001556EB" w:rsidRPr="00645049" w:rsidRDefault="001556EB" w:rsidP="00F449D0">
      <w:pPr>
        <w:numPr>
          <w:ilvl w:val="0"/>
          <w:numId w:val="12"/>
        </w:numPr>
        <w:jc w:val="both"/>
        <w:rPr>
          <w:sz w:val="20"/>
          <w:szCs w:val="20"/>
        </w:rPr>
      </w:pPr>
      <w:r w:rsidRPr="00645049">
        <w:rPr>
          <w:sz w:val="20"/>
          <w:szCs w:val="20"/>
        </w:rPr>
        <w:t>dosage du facteur von Willebrand, des inhibiteurs de la coagulation (antithrombine, protéine C, protéine S) et le test de résistance à la protéine C activée, dosage des autres facteurs de la coagulation</w:t>
      </w:r>
    </w:p>
    <w:p w:rsidR="001556EB" w:rsidRPr="00645049" w:rsidRDefault="001556EB" w:rsidP="00F449D0">
      <w:pPr>
        <w:numPr>
          <w:ilvl w:val="0"/>
          <w:numId w:val="12"/>
        </w:numPr>
        <w:jc w:val="both"/>
        <w:rPr>
          <w:sz w:val="20"/>
          <w:szCs w:val="20"/>
        </w:rPr>
      </w:pPr>
      <w:r w:rsidRPr="00645049">
        <w:rPr>
          <w:sz w:val="20"/>
          <w:szCs w:val="20"/>
        </w:rPr>
        <w:t>détection et titrage des anticorps dirigés contre les facteurs de la coagulation</w:t>
      </w:r>
    </w:p>
    <w:p w:rsidR="001556EB" w:rsidRPr="00645049" w:rsidRDefault="001556EB" w:rsidP="00F449D0">
      <w:pPr>
        <w:numPr>
          <w:ilvl w:val="0"/>
          <w:numId w:val="12"/>
        </w:numPr>
        <w:jc w:val="both"/>
        <w:rPr>
          <w:sz w:val="20"/>
          <w:szCs w:val="20"/>
        </w:rPr>
      </w:pPr>
      <w:r w:rsidRPr="00645049">
        <w:rPr>
          <w:sz w:val="20"/>
          <w:szCs w:val="20"/>
        </w:rPr>
        <w:t>surveillance des traitements anti-hémorragiques et anti-thrombotiques, diagnostic biologique d’une thrombopénie induite par l’héparine</w:t>
      </w:r>
    </w:p>
    <w:p w:rsidR="001556EB" w:rsidRPr="00645049" w:rsidRDefault="001556EB" w:rsidP="00F449D0">
      <w:pPr>
        <w:numPr>
          <w:ilvl w:val="0"/>
          <w:numId w:val="12"/>
        </w:numPr>
        <w:jc w:val="both"/>
        <w:rPr>
          <w:sz w:val="20"/>
          <w:szCs w:val="20"/>
        </w:rPr>
      </w:pPr>
      <w:r w:rsidRPr="00645049">
        <w:rPr>
          <w:sz w:val="20"/>
          <w:szCs w:val="20"/>
        </w:rPr>
        <w:t>explorer une anémie hémolytique auto-immune</w:t>
      </w:r>
    </w:p>
    <w:p w:rsidR="001556EB" w:rsidRPr="00645049" w:rsidRDefault="001556EB" w:rsidP="00F449D0">
      <w:pPr>
        <w:jc w:val="both"/>
        <w:rPr>
          <w:sz w:val="20"/>
          <w:szCs w:val="20"/>
        </w:rPr>
      </w:pPr>
      <w:r w:rsidRPr="00645049">
        <w:rPr>
          <w:sz w:val="20"/>
          <w:szCs w:val="20"/>
        </w:rPr>
        <w:br/>
        <w:t xml:space="preserve">    2) </w:t>
      </w:r>
      <w:r w:rsidRPr="00645049">
        <w:rPr>
          <w:b/>
          <w:sz w:val="20"/>
          <w:szCs w:val="20"/>
        </w:rPr>
        <w:t>S’initier à l’étude</w:t>
      </w:r>
      <w:r w:rsidRPr="00645049">
        <w:rPr>
          <w:sz w:val="20"/>
          <w:szCs w:val="20"/>
        </w:rPr>
        <w:t xml:space="preserve"> </w:t>
      </w:r>
    </w:p>
    <w:p w:rsidR="001556EB" w:rsidRPr="00645049" w:rsidRDefault="001556EB" w:rsidP="00F449D0">
      <w:pPr>
        <w:numPr>
          <w:ilvl w:val="0"/>
          <w:numId w:val="13"/>
        </w:numPr>
        <w:jc w:val="both"/>
        <w:rPr>
          <w:sz w:val="20"/>
          <w:szCs w:val="20"/>
        </w:rPr>
      </w:pPr>
      <w:r w:rsidRPr="00645049">
        <w:rPr>
          <w:sz w:val="20"/>
          <w:szCs w:val="20"/>
        </w:rPr>
        <w:t>des cellules leucémiques par l’analyse des anomalies cytogénétiques et moléculaires</w:t>
      </w:r>
    </w:p>
    <w:p w:rsidR="001556EB" w:rsidRPr="00645049" w:rsidRDefault="001556EB" w:rsidP="00F449D0">
      <w:pPr>
        <w:numPr>
          <w:ilvl w:val="0"/>
          <w:numId w:val="13"/>
        </w:numPr>
        <w:jc w:val="both"/>
        <w:rPr>
          <w:sz w:val="20"/>
          <w:szCs w:val="20"/>
        </w:rPr>
      </w:pPr>
      <w:r w:rsidRPr="00645049">
        <w:rPr>
          <w:sz w:val="20"/>
          <w:szCs w:val="20"/>
        </w:rPr>
        <w:t xml:space="preserve">des hémoglobines, des déficits enzymatiques érythrocytaires et des autres méthodes d’approche des pathologies érythrocytaires et des anomalies du métabolisme du fer </w:t>
      </w:r>
    </w:p>
    <w:p w:rsidR="001556EB" w:rsidRPr="00645049" w:rsidRDefault="001556EB" w:rsidP="00F449D0">
      <w:pPr>
        <w:numPr>
          <w:ilvl w:val="0"/>
          <w:numId w:val="13"/>
        </w:numPr>
        <w:jc w:val="both"/>
        <w:rPr>
          <w:sz w:val="20"/>
          <w:szCs w:val="20"/>
        </w:rPr>
      </w:pPr>
      <w:r w:rsidRPr="00645049">
        <w:rPr>
          <w:sz w:val="20"/>
          <w:szCs w:val="20"/>
        </w:rPr>
        <w:t>des techniques de biologie moléculaire appliquées à l’hématologie</w:t>
      </w:r>
    </w:p>
    <w:p w:rsidR="001556EB" w:rsidRPr="00645049" w:rsidRDefault="001556EB" w:rsidP="00F449D0">
      <w:pPr>
        <w:ind w:left="340"/>
        <w:jc w:val="both"/>
        <w:rPr>
          <w:sz w:val="20"/>
          <w:szCs w:val="20"/>
        </w:rPr>
      </w:pPr>
    </w:p>
    <w:p w:rsidR="001556EB" w:rsidRPr="00645049" w:rsidRDefault="001556EB" w:rsidP="00F449D0">
      <w:pPr>
        <w:jc w:val="both"/>
        <w:rPr>
          <w:sz w:val="22"/>
          <w:szCs w:val="22"/>
        </w:rPr>
      </w:pPr>
      <w:r w:rsidRPr="00645049">
        <w:rPr>
          <w:sz w:val="20"/>
          <w:szCs w:val="20"/>
        </w:rPr>
        <w:t xml:space="preserve">   3) </w:t>
      </w:r>
      <w:r w:rsidRPr="00645049">
        <w:rPr>
          <w:b/>
          <w:sz w:val="20"/>
          <w:szCs w:val="20"/>
        </w:rPr>
        <w:t>connaître les exigences de la démarche d’assurance de la qualité</w:t>
      </w:r>
      <w:r w:rsidRPr="00645049">
        <w:rPr>
          <w:sz w:val="20"/>
          <w:szCs w:val="20"/>
        </w:rPr>
        <w:t xml:space="preserve">  et s’y impliquer </w:t>
      </w:r>
      <w:r w:rsidRPr="00645049">
        <w:rPr>
          <w:sz w:val="20"/>
          <w:szCs w:val="20"/>
        </w:rPr>
        <w:br/>
      </w:r>
      <w:r w:rsidRPr="00645049">
        <w:rPr>
          <w:sz w:val="22"/>
          <w:szCs w:val="22"/>
        </w:rPr>
        <w:t xml:space="preserve"> </w:t>
      </w:r>
    </w:p>
    <w:sectPr w:rsidR="001556EB" w:rsidRPr="00645049" w:rsidSect="0025606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75ADB"/>
    <w:multiLevelType w:val="hybridMultilevel"/>
    <w:tmpl w:val="B9125AF8"/>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nsid w:val="1D767214"/>
    <w:multiLevelType w:val="multilevel"/>
    <w:tmpl w:val="9910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351119"/>
    <w:multiLevelType w:val="hybridMultilevel"/>
    <w:tmpl w:val="92E61954"/>
    <w:lvl w:ilvl="0" w:tplc="B300A6EE">
      <w:numFmt w:val="bullet"/>
      <w:lvlText w:val="-"/>
      <w:lvlJc w:val="left"/>
      <w:pPr>
        <w:tabs>
          <w:tab w:val="num" w:pos="720"/>
        </w:tabs>
        <w:ind w:left="720" w:hanging="360"/>
      </w:pPr>
      <w:rPr>
        <w:rFonts w:ascii="Times New Roman" w:eastAsia="Arial Unicode MS"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C7714D0"/>
    <w:multiLevelType w:val="hybridMultilevel"/>
    <w:tmpl w:val="2DC691F6"/>
    <w:lvl w:ilvl="0" w:tplc="936E862A">
      <w:start w:val="1"/>
      <w:numFmt w:val="bullet"/>
      <w:lvlText w:val="o"/>
      <w:lvlJc w:val="left"/>
      <w:pPr>
        <w:tabs>
          <w:tab w:val="num" w:pos="487"/>
        </w:tabs>
        <w:ind w:left="771" w:hanging="284"/>
      </w:pPr>
      <w:rPr>
        <w:rFonts w:ascii="Courier New" w:hAnsi="Courier New" w:hint="default"/>
      </w:rPr>
    </w:lvl>
    <w:lvl w:ilvl="1" w:tplc="040C0003" w:tentative="1">
      <w:start w:val="1"/>
      <w:numFmt w:val="bullet"/>
      <w:lvlText w:val="o"/>
      <w:lvlJc w:val="left"/>
      <w:pPr>
        <w:tabs>
          <w:tab w:val="num" w:pos="1587"/>
        </w:tabs>
        <w:ind w:left="1587" w:hanging="360"/>
      </w:pPr>
      <w:rPr>
        <w:rFonts w:ascii="Courier New" w:hAnsi="Courier New" w:hint="default"/>
      </w:rPr>
    </w:lvl>
    <w:lvl w:ilvl="2" w:tplc="040C0005" w:tentative="1">
      <w:start w:val="1"/>
      <w:numFmt w:val="bullet"/>
      <w:lvlText w:val=""/>
      <w:lvlJc w:val="left"/>
      <w:pPr>
        <w:tabs>
          <w:tab w:val="num" w:pos="2307"/>
        </w:tabs>
        <w:ind w:left="2307" w:hanging="360"/>
      </w:pPr>
      <w:rPr>
        <w:rFonts w:ascii="Wingdings" w:hAnsi="Wingdings" w:hint="default"/>
      </w:rPr>
    </w:lvl>
    <w:lvl w:ilvl="3" w:tplc="040C0001" w:tentative="1">
      <w:start w:val="1"/>
      <w:numFmt w:val="bullet"/>
      <w:lvlText w:val=""/>
      <w:lvlJc w:val="left"/>
      <w:pPr>
        <w:tabs>
          <w:tab w:val="num" w:pos="3027"/>
        </w:tabs>
        <w:ind w:left="3027" w:hanging="360"/>
      </w:pPr>
      <w:rPr>
        <w:rFonts w:ascii="Symbol" w:hAnsi="Symbol" w:hint="default"/>
      </w:rPr>
    </w:lvl>
    <w:lvl w:ilvl="4" w:tplc="040C0003" w:tentative="1">
      <w:start w:val="1"/>
      <w:numFmt w:val="bullet"/>
      <w:lvlText w:val="o"/>
      <w:lvlJc w:val="left"/>
      <w:pPr>
        <w:tabs>
          <w:tab w:val="num" w:pos="3747"/>
        </w:tabs>
        <w:ind w:left="3747" w:hanging="360"/>
      </w:pPr>
      <w:rPr>
        <w:rFonts w:ascii="Courier New" w:hAnsi="Courier New" w:hint="default"/>
      </w:rPr>
    </w:lvl>
    <w:lvl w:ilvl="5" w:tplc="040C0005" w:tentative="1">
      <w:start w:val="1"/>
      <w:numFmt w:val="bullet"/>
      <w:lvlText w:val=""/>
      <w:lvlJc w:val="left"/>
      <w:pPr>
        <w:tabs>
          <w:tab w:val="num" w:pos="4467"/>
        </w:tabs>
        <w:ind w:left="4467" w:hanging="360"/>
      </w:pPr>
      <w:rPr>
        <w:rFonts w:ascii="Wingdings" w:hAnsi="Wingdings" w:hint="default"/>
      </w:rPr>
    </w:lvl>
    <w:lvl w:ilvl="6" w:tplc="040C0001" w:tentative="1">
      <w:start w:val="1"/>
      <w:numFmt w:val="bullet"/>
      <w:lvlText w:val=""/>
      <w:lvlJc w:val="left"/>
      <w:pPr>
        <w:tabs>
          <w:tab w:val="num" w:pos="5187"/>
        </w:tabs>
        <w:ind w:left="5187" w:hanging="360"/>
      </w:pPr>
      <w:rPr>
        <w:rFonts w:ascii="Symbol" w:hAnsi="Symbol" w:hint="default"/>
      </w:rPr>
    </w:lvl>
    <w:lvl w:ilvl="7" w:tplc="040C0003" w:tentative="1">
      <w:start w:val="1"/>
      <w:numFmt w:val="bullet"/>
      <w:lvlText w:val="o"/>
      <w:lvlJc w:val="left"/>
      <w:pPr>
        <w:tabs>
          <w:tab w:val="num" w:pos="5907"/>
        </w:tabs>
        <w:ind w:left="5907" w:hanging="360"/>
      </w:pPr>
      <w:rPr>
        <w:rFonts w:ascii="Courier New" w:hAnsi="Courier New" w:hint="default"/>
      </w:rPr>
    </w:lvl>
    <w:lvl w:ilvl="8" w:tplc="040C0005" w:tentative="1">
      <w:start w:val="1"/>
      <w:numFmt w:val="bullet"/>
      <w:lvlText w:val=""/>
      <w:lvlJc w:val="left"/>
      <w:pPr>
        <w:tabs>
          <w:tab w:val="num" w:pos="6627"/>
        </w:tabs>
        <w:ind w:left="6627" w:hanging="360"/>
      </w:pPr>
      <w:rPr>
        <w:rFonts w:ascii="Wingdings" w:hAnsi="Wingdings" w:hint="default"/>
      </w:rPr>
    </w:lvl>
  </w:abstractNum>
  <w:abstractNum w:abstractNumId="4">
    <w:nsid w:val="34600B6D"/>
    <w:multiLevelType w:val="hybridMultilevel"/>
    <w:tmpl w:val="0A04B8B6"/>
    <w:lvl w:ilvl="0" w:tplc="936E862A">
      <w:start w:val="1"/>
      <w:numFmt w:val="bullet"/>
      <w:lvlText w:val="o"/>
      <w:lvlJc w:val="left"/>
      <w:pPr>
        <w:tabs>
          <w:tab w:val="num" w:pos="490"/>
        </w:tabs>
        <w:ind w:left="774" w:hanging="284"/>
      </w:pPr>
      <w:rPr>
        <w:rFonts w:ascii="Courier New" w:hAnsi="Courier New" w:hint="default"/>
      </w:rPr>
    </w:lvl>
    <w:lvl w:ilvl="1" w:tplc="040C0003" w:tentative="1">
      <w:start w:val="1"/>
      <w:numFmt w:val="bullet"/>
      <w:lvlText w:val="o"/>
      <w:lvlJc w:val="left"/>
      <w:pPr>
        <w:tabs>
          <w:tab w:val="num" w:pos="1590"/>
        </w:tabs>
        <w:ind w:left="1590" w:hanging="360"/>
      </w:pPr>
      <w:rPr>
        <w:rFonts w:ascii="Courier New" w:hAnsi="Courier New" w:hint="default"/>
      </w:rPr>
    </w:lvl>
    <w:lvl w:ilvl="2" w:tplc="040C0005" w:tentative="1">
      <w:start w:val="1"/>
      <w:numFmt w:val="bullet"/>
      <w:lvlText w:val=""/>
      <w:lvlJc w:val="left"/>
      <w:pPr>
        <w:tabs>
          <w:tab w:val="num" w:pos="2310"/>
        </w:tabs>
        <w:ind w:left="2310" w:hanging="360"/>
      </w:pPr>
      <w:rPr>
        <w:rFonts w:ascii="Wingdings" w:hAnsi="Wingdings" w:hint="default"/>
      </w:rPr>
    </w:lvl>
    <w:lvl w:ilvl="3" w:tplc="040C0001" w:tentative="1">
      <w:start w:val="1"/>
      <w:numFmt w:val="bullet"/>
      <w:lvlText w:val=""/>
      <w:lvlJc w:val="left"/>
      <w:pPr>
        <w:tabs>
          <w:tab w:val="num" w:pos="3030"/>
        </w:tabs>
        <w:ind w:left="3030" w:hanging="360"/>
      </w:pPr>
      <w:rPr>
        <w:rFonts w:ascii="Symbol" w:hAnsi="Symbol" w:hint="default"/>
      </w:rPr>
    </w:lvl>
    <w:lvl w:ilvl="4" w:tplc="040C0003" w:tentative="1">
      <w:start w:val="1"/>
      <w:numFmt w:val="bullet"/>
      <w:lvlText w:val="o"/>
      <w:lvlJc w:val="left"/>
      <w:pPr>
        <w:tabs>
          <w:tab w:val="num" w:pos="3750"/>
        </w:tabs>
        <w:ind w:left="3750" w:hanging="360"/>
      </w:pPr>
      <w:rPr>
        <w:rFonts w:ascii="Courier New" w:hAnsi="Courier New" w:hint="default"/>
      </w:rPr>
    </w:lvl>
    <w:lvl w:ilvl="5" w:tplc="040C0005" w:tentative="1">
      <w:start w:val="1"/>
      <w:numFmt w:val="bullet"/>
      <w:lvlText w:val=""/>
      <w:lvlJc w:val="left"/>
      <w:pPr>
        <w:tabs>
          <w:tab w:val="num" w:pos="4470"/>
        </w:tabs>
        <w:ind w:left="4470" w:hanging="360"/>
      </w:pPr>
      <w:rPr>
        <w:rFonts w:ascii="Wingdings" w:hAnsi="Wingdings" w:hint="default"/>
      </w:rPr>
    </w:lvl>
    <w:lvl w:ilvl="6" w:tplc="040C0001" w:tentative="1">
      <w:start w:val="1"/>
      <w:numFmt w:val="bullet"/>
      <w:lvlText w:val=""/>
      <w:lvlJc w:val="left"/>
      <w:pPr>
        <w:tabs>
          <w:tab w:val="num" w:pos="5190"/>
        </w:tabs>
        <w:ind w:left="5190" w:hanging="360"/>
      </w:pPr>
      <w:rPr>
        <w:rFonts w:ascii="Symbol" w:hAnsi="Symbol" w:hint="default"/>
      </w:rPr>
    </w:lvl>
    <w:lvl w:ilvl="7" w:tplc="040C0003" w:tentative="1">
      <w:start w:val="1"/>
      <w:numFmt w:val="bullet"/>
      <w:lvlText w:val="o"/>
      <w:lvlJc w:val="left"/>
      <w:pPr>
        <w:tabs>
          <w:tab w:val="num" w:pos="5910"/>
        </w:tabs>
        <w:ind w:left="5910" w:hanging="360"/>
      </w:pPr>
      <w:rPr>
        <w:rFonts w:ascii="Courier New" w:hAnsi="Courier New" w:hint="default"/>
      </w:rPr>
    </w:lvl>
    <w:lvl w:ilvl="8" w:tplc="040C0005" w:tentative="1">
      <w:start w:val="1"/>
      <w:numFmt w:val="bullet"/>
      <w:lvlText w:val=""/>
      <w:lvlJc w:val="left"/>
      <w:pPr>
        <w:tabs>
          <w:tab w:val="num" w:pos="6630"/>
        </w:tabs>
        <w:ind w:left="6630" w:hanging="360"/>
      </w:pPr>
      <w:rPr>
        <w:rFonts w:ascii="Wingdings" w:hAnsi="Wingdings" w:hint="default"/>
      </w:rPr>
    </w:lvl>
  </w:abstractNum>
  <w:abstractNum w:abstractNumId="5">
    <w:nsid w:val="3DA066F2"/>
    <w:multiLevelType w:val="multilevel"/>
    <w:tmpl w:val="2B5A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0315AA"/>
    <w:multiLevelType w:val="hybridMultilevel"/>
    <w:tmpl w:val="6B32EA14"/>
    <w:lvl w:ilvl="0" w:tplc="5F6C39F4">
      <w:start w:val="1"/>
      <w:numFmt w:val="bullet"/>
      <w:lvlText w:val="•"/>
      <w:lvlJc w:val="left"/>
      <w:pPr>
        <w:tabs>
          <w:tab w:val="num" w:pos="720"/>
        </w:tabs>
        <w:ind w:left="720" w:hanging="360"/>
      </w:pPr>
      <w:rPr>
        <w:rFonts w:ascii="Times New Roman" w:hAnsi="Times New Roman" w:hint="default"/>
      </w:rPr>
    </w:lvl>
    <w:lvl w:ilvl="1" w:tplc="3AB8F560">
      <w:numFmt w:val="bullet"/>
      <w:lvlText w:val=""/>
      <w:lvlJc w:val="left"/>
      <w:pPr>
        <w:tabs>
          <w:tab w:val="num" w:pos="1440"/>
        </w:tabs>
        <w:ind w:left="1440" w:hanging="360"/>
      </w:pPr>
      <w:rPr>
        <w:rFonts w:ascii="Wingdings" w:eastAsia="Times New Roman" w:hAnsi="Wingdings" w:hint="default"/>
      </w:rPr>
    </w:lvl>
    <w:lvl w:ilvl="2" w:tplc="B6FA22F2">
      <w:start w:val="1"/>
      <w:numFmt w:val="bullet"/>
      <w:lvlText w:val="•"/>
      <w:lvlJc w:val="left"/>
      <w:pPr>
        <w:tabs>
          <w:tab w:val="num" w:pos="2160"/>
        </w:tabs>
        <w:ind w:left="2160" w:hanging="360"/>
      </w:pPr>
      <w:rPr>
        <w:rFonts w:ascii="Times New Roman" w:hAnsi="Times New Roman" w:hint="default"/>
      </w:rPr>
    </w:lvl>
    <w:lvl w:ilvl="3" w:tplc="FCE44576">
      <w:start w:val="1"/>
      <w:numFmt w:val="bullet"/>
      <w:lvlText w:val="•"/>
      <w:lvlJc w:val="left"/>
      <w:pPr>
        <w:tabs>
          <w:tab w:val="num" w:pos="2880"/>
        </w:tabs>
        <w:ind w:left="2880" w:hanging="360"/>
      </w:pPr>
      <w:rPr>
        <w:rFonts w:ascii="Times New Roman" w:hAnsi="Times New Roman" w:hint="default"/>
      </w:rPr>
    </w:lvl>
    <w:lvl w:ilvl="4" w:tplc="497ED6D0" w:tentative="1">
      <w:start w:val="1"/>
      <w:numFmt w:val="bullet"/>
      <w:lvlText w:val="•"/>
      <w:lvlJc w:val="left"/>
      <w:pPr>
        <w:tabs>
          <w:tab w:val="num" w:pos="3600"/>
        </w:tabs>
        <w:ind w:left="3600" w:hanging="360"/>
      </w:pPr>
      <w:rPr>
        <w:rFonts w:ascii="Times New Roman" w:hAnsi="Times New Roman" w:hint="default"/>
      </w:rPr>
    </w:lvl>
    <w:lvl w:ilvl="5" w:tplc="7B3ACBA0">
      <w:start w:val="1"/>
      <w:numFmt w:val="bullet"/>
      <w:lvlText w:val="•"/>
      <w:lvlJc w:val="left"/>
      <w:pPr>
        <w:tabs>
          <w:tab w:val="num" w:pos="4320"/>
        </w:tabs>
        <w:ind w:left="4320" w:hanging="360"/>
      </w:pPr>
      <w:rPr>
        <w:rFonts w:ascii="Times New Roman" w:hAnsi="Times New Roman" w:hint="default"/>
      </w:rPr>
    </w:lvl>
    <w:lvl w:ilvl="6" w:tplc="3B9AD690" w:tentative="1">
      <w:start w:val="1"/>
      <w:numFmt w:val="bullet"/>
      <w:lvlText w:val="•"/>
      <w:lvlJc w:val="left"/>
      <w:pPr>
        <w:tabs>
          <w:tab w:val="num" w:pos="5040"/>
        </w:tabs>
        <w:ind w:left="5040" w:hanging="360"/>
      </w:pPr>
      <w:rPr>
        <w:rFonts w:ascii="Times New Roman" w:hAnsi="Times New Roman" w:hint="default"/>
      </w:rPr>
    </w:lvl>
    <w:lvl w:ilvl="7" w:tplc="D4A2FAC4" w:tentative="1">
      <w:start w:val="1"/>
      <w:numFmt w:val="bullet"/>
      <w:lvlText w:val="•"/>
      <w:lvlJc w:val="left"/>
      <w:pPr>
        <w:tabs>
          <w:tab w:val="num" w:pos="5760"/>
        </w:tabs>
        <w:ind w:left="5760" w:hanging="360"/>
      </w:pPr>
      <w:rPr>
        <w:rFonts w:ascii="Times New Roman" w:hAnsi="Times New Roman" w:hint="default"/>
      </w:rPr>
    </w:lvl>
    <w:lvl w:ilvl="8" w:tplc="C26E6CCE" w:tentative="1">
      <w:start w:val="1"/>
      <w:numFmt w:val="bullet"/>
      <w:lvlText w:val="•"/>
      <w:lvlJc w:val="left"/>
      <w:pPr>
        <w:tabs>
          <w:tab w:val="num" w:pos="6480"/>
        </w:tabs>
        <w:ind w:left="6480" w:hanging="360"/>
      </w:pPr>
      <w:rPr>
        <w:rFonts w:ascii="Times New Roman" w:hAnsi="Times New Roman" w:hint="default"/>
      </w:rPr>
    </w:lvl>
  </w:abstractNum>
  <w:abstractNum w:abstractNumId="7">
    <w:nsid w:val="538D009C"/>
    <w:multiLevelType w:val="hybridMultilevel"/>
    <w:tmpl w:val="F1A4DAA2"/>
    <w:lvl w:ilvl="0" w:tplc="051C7B90">
      <w:start w:val="1"/>
      <w:numFmt w:val="bullet"/>
      <w:lvlText w:val=""/>
      <w:lvlJc w:val="left"/>
      <w:pPr>
        <w:tabs>
          <w:tab w:val="num" w:pos="737"/>
        </w:tabs>
        <w:ind w:left="737" w:hanging="397"/>
      </w:pPr>
      <w:rPr>
        <w:rFonts w:ascii="Wingdings 3" w:hAnsi="Wingdings 3" w:hint="default"/>
        <w:sz w:val="22"/>
      </w:rPr>
    </w:lvl>
    <w:lvl w:ilvl="1" w:tplc="06EAB6A4">
      <w:start w:val="1"/>
      <w:numFmt w:val="decimal"/>
      <w:lvlText w:val="%2."/>
      <w:lvlJc w:val="left"/>
      <w:pPr>
        <w:tabs>
          <w:tab w:val="num" w:pos="737"/>
        </w:tabs>
        <w:ind w:left="737" w:hanging="397"/>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8">
    <w:nsid w:val="58075C0A"/>
    <w:multiLevelType w:val="hybridMultilevel"/>
    <w:tmpl w:val="81E25FB0"/>
    <w:lvl w:ilvl="0" w:tplc="936E862A">
      <w:start w:val="1"/>
      <w:numFmt w:val="bullet"/>
      <w:lvlText w:val="o"/>
      <w:lvlJc w:val="left"/>
      <w:pPr>
        <w:tabs>
          <w:tab w:val="num" w:pos="340"/>
        </w:tabs>
        <w:ind w:left="624" w:hanging="284"/>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97946A8"/>
    <w:multiLevelType w:val="hybridMultilevel"/>
    <w:tmpl w:val="E1D06B7C"/>
    <w:lvl w:ilvl="0" w:tplc="936E862A">
      <w:start w:val="1"/>
      <w:numFmt w:val="bullet"/>
      <w:lvlText w:val="o"/>
      <w:lvlJc w:val="left"/>
      <w:pPr>
        <w:tabs>
          <w:tab w:val="num" w:pos="487"/>
        </w:tabs>
        <w:ind w:left="771" w:hanging="284"/>
      </w:pPr>
      <w:rPr>
        <w:rFonts w:ascii="Courier New" w:hAnsi="Courier New" w:hint="default"/>
      </w:rPr>
    </w:lvl>
    <w:lvl w:ilvl="1" w:tplc="040C0003" w:tentative="1">
      <w:start w:val="1"/>
      <w:numFmt w:val="bullet"/>
      <w:lvlText w:val="o"/>
      <w:lvlJc w:val="left"/>
      <w:pPr>
        <w:tabs>
          <w:tab w:val="num" w:pos="1587"/>
        </w:tabs>
        <w:ind w:left="1587" w:hanging="360"/>
      </w:pPr>
      <w:rPr>
        <w:rFonts w:ascii="Courier New" w:hAnsi="Courier New" w:hint="default"/>
      </w:rPr>
    </w:lvl>
    <w:lvl w:ilvl="2" w:tplc="040C0005" w:tentative="1">
      <w:start w:val="1"/>
      <w:numFmt w:val="bullet"/>
      <w:lvlText w:val=""/>
      <w:lvlJc w:val="left"/>
      <w:pPr>
        <w:tabs>
          <w:tab w:val="num" w:pos="2307"/>
        </w:tabs>
        <w:ind w:left="2307" w:hanging="360"/>
      </w:pPr>
      <w:rPr>
        <w:rFonts w:ascii="Wingdings" w:hAnsi="Wingdings" w:hint="default"/>
      </w:rPr>
    </w:lvl>
    <w:lvl w:ilvl="3" w:tplc="040C0001" w:tentative="1">
      <w:start w:val="1"/>
      <w:numFmt w:val="bullet"/>
      <w:lvlText w:val=""/>
      <w:lvlJc w:val="left"/>
      <w:pPr>
        <w:tabs>
          <w:tab w:val="num" w:pos="3027"/>
        </w:tabs>
        <w:ind w:left="3027" w:hanging="360"/>
      </w:pPr>
      <w:rPr>
        <w:rFonts w:ascii="Symbol" w:hAnsi="Symbol" w:hint="default"/>
      </w:rPr>
    </w:lvl>
    <w:lvl w:ilvl="4" w:tplc="040C0003" w:tentative="1">
      <w:start w:val="1"/>
      <w:numFmt w:val="bullet"/>
      <w:lvlText w:val="o"/>
      <w:lvlJc w:val="left"/>
      <w:pPr>
        <w:tabs>
          <w:tab w:val="num" w:pos="3747"/>
        </w:tabs>
        <w:ind w:left="3747" w:hanging="360"/>
      </w:pPr>
      <w:rPr>
        <w:rFonts w:ascii="Courier New" w:hAnsi="Courier New" w:hint="default"/>
      </w:rPr>
    </w:lvl>
    <w:lvl w:ilvl="5" w:tplc="040C0005" w:tentative="1">
      <w:start w:val="1"/>
      <w:numFmt w:val="bullet"/>
      <w:lvlText w:val=""/>
      <w:lvlJc w:val="left"/>
      <w:pPr>
        <w:tabs>
          <w:tab w:val="num" w:pos="4467"/>
        </w:tabs>
        <w:ind w:left="4467" w:hanging="360"/>
      </w:pPr>
      <w:rPr>
        <w:rFonts w:ascii="Wingdings" w:hAnsi="Wingdings" w:hint="default"/>
      </w:rPr>
    </w:lvl>
    <w:lvl w:ilvl="6" w:tplc="040C0001" w:tentative="1">
      <w:start w:val="1"/>
      <w:numFmt w:val="bullet"/>
      <w:lvlText w:val=""/>
      <w:lvlJc w:val="left"/>
      <w:pPr>
        <w:tabs>
          <w:tab w:val="num" w:pos="5187"/>
        </w:tabs>
        <w:ind w:left="5187" w:hanging="360"/>
      </w:pPr>
      <w:rPr>
        <w:rFonts w:ascii="Symbol" w:hAnsi="Symbol" w:hint="default"/>
      </w:rPr>
    </w:lvl>
    <w:lvl w:ilvl="7" w:tplc="040C0003" w:tentative="1">
      <w:start w:val="1"/>
      <w:numFmt w:val="bullet"/>
      <w:lvlText w:val="o"/>
      <w:lvlJc w:val="left"/>
      <w:pPr>
        <w:tabs>
          <w:tab w:val="num" w:pos="5907"/>
        </w:tabs>
        <w:ind w:left="5907" w:hanging="360"/>
      </w:pPr>
      <w:rPr>
        <w:rFonts w:ascii="Courier New" w:hAnsi="Courier New" w:hint="default"/>
      </w:rPr>
    </w:lvl>
    <w:lvl w:ilvl="8" w:tplc="040C0005" w:tentative="1">
      <w:start w:val="1"/>
      <w:numFmt w:val="bullet"/>
      <w:lvlText w:val=""/>
      <w:lvlJc w:val="left"/>
      <w:pPr>
        <w:tabs>
          <w:tab w:val="num" w:pos="6627"/>
        </w:tabs>
        <w:ind w:left="6627" w:hanging="360"/>
      </w:pPr>
      <w:rPr>
        <w:rFonts w:ascii="Wingdings" w:hAnsi="Wingdings" w:hint="default"/>
      </w:rPr>
    </w:lvl>
  </w:abstractNum>
  <w:abstractNum w:abstractNumId="10">
    <w:nsid w:val="5BA9385F"/>
    <w:multiLevelType w:val="hybridMultilevel"/>
    <w:tmpl w:val="A7867020"/>
    <w:lvl w:ilvl="0" w:tplc="040C0003">
      <w:start w:val="1"/>
      <w:numFmt w:val="bullet"/>
      <w:lvlText w:val="o"/>
      <w:lvlJc w:val="left"/>
      <w:pPr>
        <w:tabs>
          <w:tab w:val="num" w:pos="780"/>
        </w:tabs>
        <w:ind w:left="780" w:hanging="360"/>
      </w:pPr>
      <w:rPr>
        <w:rFonts w:ascii="Courier New" w:hAnsi="Courier New"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1">
    <w:nsid w:val="65827E80"/>
    <w:multiLevelType w:val="hybridMultilevel"/>
    <w:tmpl w:val="6BB68116"/>
    <w:lvl w:ilvl="0" w:tplc="274011BE">
      <w:start w:val="1"/>
      <w:numFmt w:val="bullet"/>
      <w:lvlText w:val="-"/>
      <w:lvlJc w:val="left"/>
      <w:pPr>
        <w:tabs>
          <w:tab w:val="num" w:pos="1778"/>
        </w:tabs>
        <w:ind w:left="1778" w:hanging="360"/>
      </w:pPr>
      <w:rPr>
        <w:rFonts w:ascii="Times New Roman" w:eastAsia="Times New Roman" w:hAnsi="Times New Roman"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2">
    <w:nsid w:val="67DA5FBF"/>
    <w:multiLevelType w:val="hybridMultilevel"/>
    <w:tmpl w:val="E09EC5FA"/>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C152584"/>
    <w:multiLevelType w:val="hybridMultilevel"/>
    <w:tmpl w:val="5FDE3678"/>
    <w:lvl w:ilvl="0" w:tplc="936E862A">
      <w:start w:val="1"/>
      <w:numFmt w:val="bullet"/>
      <w:lvlText w:val="o"/>
      <w:lvlJc w:val="left"/>
      <w:pPr>
        <w:tabs>
          <w:tab w:val="num" w:pos="487"/>
        </w:tabs>
        <w:ind w:left="771" w:hanging="284"/>
      </w:pPr>
      <w:rPr>
        <w:rFonts w:ascii="Courier New" w:hAnsi="Courier New" w:hint="default"/>
      </w:rPr>
    </w:lvl>
    <w:lvl w:ilvl="1" w:tplc="040C0003" w:tentative="1">
      <w:start w:val="1"/>
      <w:numFmt w:val="bullet"/>
      <w:lvlText w:val="o"/>
      <w:lvlJc w:val="left"/>
      <w:pPr>
        <w:tabs>
          <w:tab w:val="num" w:pos="1587"/>
        </w:tabs>
        <w:ind w:left="1587" w:hanging="360"/>
      </w:pPr>
      <w:rPr>
        <w:rFonts w:ascii="Courier New" w:hAnsi="Courier New" w:hint="default"/>
      </w:rPr>
    </w:lvl>
    <w:lvl w:ilvl="2" w:tplc="040C0005" w:tentative="1">
      <w:start w:val="1"/>
      <w:numFmt w:val="bullet"/>
      <w:lvlText w:val=""/>
      <w:lvlJc w:val="left"/>
      <w:pPr>
        <w:tabs>
          <w:tab w:val="num" w:pos="2307"/>
        </w:tabs>
        <w:ind w:left="2307" w:hanging="360"/>
      </w:pPr>
      <w:rPr>
        <w:rFonts w:ascii="Wingdings" w:hAnsi="Wingdings" w:hint="default"/>
      </w:rPr>
    </w:lvl>
    <w:lvl w:ilvl="3" w:tplc="040C0001" w:tentative="1">
      <w:start w:val="1"/>
      <w:numFmt w:val="bullet"/>
      <w:lvlText w:val=""/>
      <w:lvlJc w:val="left"/>
      <w:pPr>
        <w:tabs>
          <w:tab w:val="num" w:pos="3027"/>
        </w:tabs>
        <w:ind w:left="3027" w:hanging="360"/>
      </w:pPr>
      <w:rPr>
        <w:rFonts w:ascii="Symbol" w:hAnsi="Symbol" w:hint="default"/>
      </w:rPr>
    </w:lvl>
    <w:lvl w:ilvl="4" w:tplc="040C0003" w:tentative="1">
      <w:start w:val="1"/>
      <w:numFmt w:val="bullet"/>
      <w:lvlText w:val="o"/>
      <w:lvlJc w:val="left"/>
      <w:pPr>
        <w:tabs>
          <w:tab w:val="num" w:pos="3747"/>
        </w:tabs>
        <w:ind w:left="3747" w:hanging="360"/>
      </w:pPr>
      <w:rPr>
        <w:rFonts w:ascii="Courier New" w:hAnsi="Courier New" w:hint="default"/>
      </w:rPr>
    </w:lvl>
    <w:lvl w:ilvl="5" w:tplc="040C0005" w:tentative="1">
      <w:start w:val="1"/>
      <w:numFmt w:val="bullet"/>
      <w:lvlText w:val=""/>
      <w:lvlJc w:val="left"/>
      <w:pPr>
        <w:tabs>
          <w:tab w:val="num" w:pos="4467"/>
        </w:tabs>
        <w:ind w:left="4467" w:hanging="360"/>
      </w:pPr>
      <w:rPr>
        <w:rFonts w:ascii="Wingdings" w:hAnsi="Wingdings" w:hint="default"/>
      </w:rPr>
    </w:lvl>
    <w:lvl w:ilvl="6" w:tplc="040C0001" w:tentative="1">
      <w:start w:val="1"/>
      <w:numFmt w:val="bullet"/>
      <w:lvlText w:val=""/>
      <w:lvlJc w:val="left"/>
      <w:pPr>
        <w:tabs>
          <w:tab w:val="num" w:pos="5187"/>
        </w:tabs>
        <w:ind w:left="5187" w:hanging="360"/>
      </w:pPr>
      <w:rPr>
        <w:rFonts w:ascii="Symbol" w:hAnsi="Symbol" w:hint="default"/>
      </w:rPr>
    </w:lvl>
    <w:lvl w:ilvl="7" w:tplc="040C0003" w:tentative="1">
      <w:start w:val="1"/>
      <w:numFmt w:val="bullet"/>
      <w:lvlText w:val="o"/>
      <w:lvlJc w:val="left"/>
      <w:pPr>
        <w:tabs>
          <w:tab w:val="num" w:pos="5907"/>
        </w:tabs>
        <w:ind w:left="5907" w:hanging="360"/>
      </w:pPr>
      <w:rPr>
        <w:rFonts w:ascii="Courier New" w:hAnsi="Courier New" w:hint="default"/>
      </w:rPr>
    </w:lvl>
    <w:lvl w:ilvl="8" w:tplc="040C0005" w:tentative="1">
      <w:start w:val="1"/>
      <w:numFmt w:val="bullet"/>
      <w:lvlText w:val=""/>
      <w:lvlJc w:val="left"/>
      <w:pPr>
        <w:tabs>
          <w:tab w:val="num" w:pos="6627"/>
        </w:tabs>
        <w:ind w:left="6627" w:hanging="360"/>
      </w:pPr>
      <w:rPr>
        <w:rFonts w:ascii="Wingdings" w:hAnsi="Wingdings" w:hint="default"/>
      </w:rPr>
    </w:lvl>
  </w:abstractNum>
  <w:abstractNum w:abstractNumId="14">
    <w:nsid w:val="7DBA2427"/>
    <w:multiLevelType w:val="hybridMultilevel"/>
    <w:tmpl w:val="57FA82B2"/>
    <w:lvl w:ilvl="0" w:tplc="B300A6EE">
      <w:numFmt w:val="bullet"/>
      <w:lvlText w:val="-"/>
      <w:lvlJc w:val="left"/>
      <w:pPr>
        <w:tabs>
          <w:tab w:val="num" w:pos="1080"/>
        </w:tabs>
        <w:ind w:left="1080" w:hanging="360"/>
      </w:pPr>
      <w:rPr>
        <w:rFonts w:ascii="Times New Roman" w:eastAsia="Arial Unicode MS" w:hAnsi="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5"/>
  </w:num>
  <w:num w:numId="6">
    <w:abstractNumId w:val="1"/>
  </w:num>
  <w:num w:numId="7">
    <w:abstractNumId w:val="10"/>
  </w:num>
  <w:num w:numId="8">
    <w:abstractNumId w:val="12"/>
  </w:num>
  <w:num w:numId="9">
    <w:abstractNumId w:val="4"/>
  </w:num>
  <w:num w:numId="10">
    <w:abstractNumId w:val="3"/>
  </w:num>
  <w:num w:numId="11">
    <w:abstractNumId w:val="9"/>
  </w:num>
  <w:num w:numId="12">
    <w:abstractNumId w:val="13"/>
  </w:num>
  <w:num w:numId="13">
    <w:abstractNumId w:val="8"/>
  </w:num>
  <w:num w:numId="14">
    <w:abstractNumId w:val="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265C"/>
    <w:rsid w:val="00020CA2"/>
    <w:rsid w:val="000A77CF"/>
    <w:rsid w:val="000D3E6E"/>
    <w:rsid w:val="001556EB"/>
    <w:rsid w:val="001D302B"/>
    <w:rsid w:val="0025606D"/>
    <w:rsid w:val="0029612B"/>
    <w:rsid w:val="0037147E"/>
    <w:rsid w:val="003A3EF5"/>
    <w:rsid w:val="003A587A"/>
    <w:rsid w:val="00504F7A"/>
    <w:rsid w:val="00645049"/>
    <w:rsid w:val="0067184E"/>
    <w:rsid w:val="006E7C79"/>
    <w:rsid w:val="0070208B"/>
    <w:rsid w:val="00745F09"/>
    <w:rsid w:val="009A4C99"/>
    <w:rsid w:val="00B47436"/>
    <w:rsid w:val="00C61D17"/>
    <w:rsid w:val="00C759CE"/>
    <w:rsid w:val="00CA265C"/>
    <w:rsid w:val="00CE0CBF"/>
    <w:rsid w:val="00D61950"/>
    <w:rsid w:val="00E16CE3"/>
    <w:rsid w:val="00F449D0"/>
    <w:rsid w:val="00F90E6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C79"/>
    <w:rPr>
      <w:sz w:val="24"/>
      <w:szCs w:val="24"/>
    </w:rPr>
  </w:style>
  <w:style w:type="paragraph" w:styleId="Heading3">
    <w:name w:val="heading 3"/>
    <w:basedOn w:val="Normal"/>
    <w:next w:val="Normal"/>
    <w:link w:val="Heading3Char"/>
    <w:uiPriority w:val="99"/>
    <w:qFormat/>
    <w:locked/>
    <w:rsid w:val="00F449D0"/>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F4CC9"/>
    <w:rPr>
      <w:rFonts w:asciiTheme="majorHAnsi" w:eastAsiaTheme="majorEastAsia" w:hAnsiTheme="majorHAnsi" w:cstheme="majorBidi"/>
      <w:b/>
      <w:bCs/>
      <w:sz w:val="26"/>
      <w:szCs w:val="26"/>
    </w:rPr>
  </w:style>
  <w:style w:type="character" w:customStyle="1" w:styleId="tit1">
    <w:name w:val="tit1"/>
    <w:basedOn w:val="DefaultParagraphFont"/>
    <w:uiPriority w:val="99"/>
    <w:rsid w:val="00F449D0"/>
    <w:rPr>
      <w:rFonts w:ascii="Verdana" w:hAnsi="Verdana" w:cs="Times New Roman"/>
      <w:b/>
      <w:bCs/>
      <w:color w:val="FF6600"/>
      <w:sz w:val="16"/>
      <w:szCs w:val="16"/>
    </w:rPr>
  </w:style>
  <w:style w:type="character" w:customStyle="1" w:styleId="ref11">
    <w:name w:val="ref11"/>
    <w:basedOn w:val="DefaultParagraphFont"/>
    <w:uiPriority w:val="99"/>
    <w:rsid w:val="00F449D0"/>
    <w:rPr>
      <w:rFonts w:ascii="Verdana" w:hAnsi="Verdana" w:cs="Times New Roman"/>
      <w:sz w:val="16"/>
      <w:szCs w:val="16"/>
    </w:rPr>
  </w:style>
  <w:style w:type="paragraph" w:customStyle="1" w:styleId="11-texte">
    <w:name w:val="11-texte"/>
    <w:basedOn w:val="Normal"/>
    <w:uiPriority w:val="99"/>
    <w:rsid w:val="00F449D0"/>
    <w:pPr>
      <w:spacing w:before="100" w:beforeAutospacing="1" w:after="100" w:afterAutospacing="1"/>
    </w:pPr>
    <w:rPr>
      <w:rFonts w:ascii="Verdana" w:eastAsia="Arial Unicode MS" w:hAnsi="Verdana" w:cs="Arial Unicode MS"/>
      <w:sz w:val="16"/>
      <w:szCs w:val="16"/>
    </w:rPr>
  </w:style>
  <w:style w:type="paragraph" w:styleId="BodyText3">
    <w:name w:val="Body Text 3"/>
    <w:basedOn w:val="Normal"/>
    <w:link w:val="BodyText3Char"/>
    <w:uiPriority w:val="99"/>
    <w:rsid w:val="00F449D0"/>
    <w:pPr>
      <w:spacing w:before="240"/>
      <w:jc w:val="both"/>
      <w:outlineLvl w:val="0"/>
    </w:pPr>
  </w:style>
  <w:style w:type="character" w:customStyle="1" w:styleId="BodyText3Char">
    <w:name w:val="Body Text 3 Char"/>
    <w:basedOn w:val="DefaultParagraphFont"/>
    <w:link w:val="BodyText3"/>
    <w:uiPriority w:val="99"/>
    <w:semiHidden/>
    <w:rsid w:val="001F4CC9"/>
    <w:rPr>
      <w:sz w:val="16"/>
      <w:szCs w:val="16"/>
    </w:rPr>
  </w:style>
  <w:style w:type="character" w:styleId="Hyperlink">
    <w:name w:val="Hyperlink"/>
    <w:basedOn w:val="DefaultParagraphFont"/>
    <w:uiPriority w:val="99"/>
    <w:rsid w:val="00F449D0"/>
    <w:rPr>
      <w:rFonts w:cs="Times New Roman"/>
      <w:color w:val="000099"/>
      <w:u w:val="none"/>
      <w:effect w:val="none"/>
    </w:rPr>
  </w:style>
  <w:style w:type="paragraph" w:styleId="NormalWeb">
    <w:name w:val="Normal (Web)"/>
    <w:basedOn w:val="Normal"/>
    <w:uiPriority w:val="99"/>
    <w:rsid w:val="00F449D0"/>
    <w:pPr>
      <w:spacing w:before="100" w:beforeAutospacing="1" w:after="100" w:afterAutospacing="1"/>
    </w:pPr>
  </w:style>
  <w:style w:type="character" w:styleId="Strong">
    <w:name w:val="Strong"/>
    <w:basedOn w:val="DefaultParagraphFont"/>
    <w:uiPriority w:val="99"/>
    <w:qFormat/>
    <w:locked/>
    <w:rsid w:val="00F449D0"/>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aipcf.org/local/cache-vignettes/L8xH11/puce-32883.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aipcf.org/local/cache-vignettes/L8xH11/puce-32883.gi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aipcf.org/spip.php?article64" TargetMode="External"/><Relationship Id="rId5" Type="http://schemas.openxmlformats.org/officeDocument/2006/relationships/image" Target="media/image1.jpeg"/><Relationship Id="rId10" Type="http://schemas.openxmlformats.org/officeDocument/2006/relationships/hyperlink" Target="http://www.aipcf.org/spip.php?article64" TargetMode="External"/><Relationship Id="rId4" Type="http://schemas.openxmlformats.org/officeDocument/2006/relationships/webSettings" Target="webSettings.xml"/><Relationship Id="rId9" Type="http://schemas.openxmlformats.org/officeDocument/2006/relationships/image" Target="http://www.aipcf.org/local/cache-vignettes/L8xH11/puce-32883.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3947</Words>
  <Characters>21714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Stage d’interne en Biologie Médicale</dc:title>
  <dc:subject/>
  <dc:creator>SAFE</dc:creator>
  <cp:keywords/>
  <dc:description/>
  <cp:lastModifiedBy>decoster_anne</cp:lastModifiedBy>
  <cp:revision>2</cp:revision>
  <dcterms:created xsi:type="dcterms:W3CDTF">2016-08-19T13:11:00Z</dcterms:created>
  <dcterms:modified xsi:type="dcterms:W3CDTF">2016-08-19T13:11:00Z</dcterms:modified>
</cp:coreProperties>
</file>